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7FAB" w14:textId="77777777" w:rsidR="0051712E" w:rsidRPr="00D27917" w:rsidRDefault="0051712E" w:rsidP="0051712E">
      <w:pPr>
        <w:rPr>
          <w:rFonts w:ascii="Arial" w:hAnsi="Arial" w:cs="Arial"/>
          <w:b/>
          <w:bCs/>
          <w:sz w:val="20"/>
          <w:szCs w:val="20"/>
        </w:rPr>
      </w:pPr>
      <w:r w:rsidRPr="00D27917">
        <w:rPr>
          <w:rFonts w:ascii="Arial" w:hAnsi="Arial" w:cs="Arial"/>
          <w:b/>
          <w:bCs/>
          <w:sz w:val="20"/>
          <w:szCs w:val="20"/>
        </w:rPr>
        <w:t>Title</w:t>
      </w:r>
    </w:p>
    <w:p w14:paraId="0805F9BE" w14:textId="75A7E884" w:rsidR="0051712E" w:rsidRPr="002D3B8F" w:rsidRDefault="0051712E" w:rsidP="00E323ED">
      <w:pPr>
        <w:spacing w:after="120" w:line="240" w:lineRule="auto"/>
        <w:rPr>
          <w:rFonts w:ascii="Arial" w:hAnsi="Arial" w:cs="Arial"/>
          <w:sz w:val="20"/>
          <w:szCs w:val="20"/>
        </w:rPr>
      </w:pPr>
      <w:r w:rsidRPr="002D3B8F">
        <w:rPr>
          <w:rFonts w:ascii="Arial" w:hAnsi="Arial" w:cs="Arial"/>
          <w:sz w:val="20"/>
          <w:szCs w:val="20"/>
        </w:rPr>
        <w:t>New Zealand’s hydrogeological</w:t>
      </w:r>
      <w:r w:rsidR="004C07B6">
        <w:rPr>
          <w:rFonts w:ascii="Arial" w:hAnsi="Arial" w:cs="Arial"/>
          <w:sz w:val="20"/>
          <w:szCs w:val="20"/>
        </w:rPr>
        <w:t xml:space="preserve"> unit </w:t>
      </w:r>
      <w:r w:rsidRPr="002D3B8F">
        <w:rPr>
          <w:rFonts w:ascii="Arial" w:hAnsi="Arial" w:cs="Arial"/>
          <w:sz w:val="20"/>
          <w:szCs w:val="20"/>
        </w:rPr>
        <w:t>dataset</w:t>
      </w:r>
      <w:r w:rsidR="00D27917">
        <w:rPr>
          <w:rFonts w:ascii="Arial" w:hAnsi="Arial" w:cs="Arial"/>
          <w:sz w:val="20"/>
          <w:szCs w:val="20"/>
        </w:rPr>
        <w:t xml:space="preserve">. </w:t>
      </w:r>
    </w:p>
    <w:p w14:paraId="7B39A375" w14:textId="77777777" w:rsidR="0051712E" w:rsidRPr="00D27917" w:rsidRDefault="0051712E" w:rsidP="0051712E">
      <w:pPr>
        <w:rPr>
          <w:rFonts w:ascii="Arial" w:hAnsi="Arial" w:cs="Arial"/>
          <w:b/>
          <w:bCs/>
          <w:sz w:val="20"/>
          <w:szCs w:val="20"/>
        </w:rPr>
      </w:pPr>
      <w:r w:rsidRPr="00D27917">
        <w:rPr>
          <w:rFonts w:ascii="Arial" w:hAnsi="Arial" w:cs="Arial"/>
          <w:b/>
          <w:bCs/>
          <w:sz w:val="20"/>
          <w:szCs w:val="20"/>
        </w:rPr>
        <w:t>Date</w:t>
      </w:r>
    </w:p>
    <w:p w14:paraId="7C7DB542" w14:textId="69639358" w:rsidR="00E323ED" w:rsidRDefault="0051712E" w:rsidP="00E323ED">
      <w:pPr>
        <w:spacing w:after="0" w:line="240" w:lineRule="auto"/>
        <w:rPr>
          <w:rFonts w:ascii="Arial" w:hAnsi="Arial" w:cs="Arial"/>
          <w:sz w:val="20"/>
          <w:szCs w:val="20"/>
        </w:rPr>
      </w:pPr>
      <w:r w:rsidRPr="002D3B8F">
        <w:rPr>
          <w:rFonts w:ascii="Arial" w:hAnsi="Arial" w:cs="Arial"/>
          <w:sz w:val="20"/>
          <w:szCs w:val="20"/>
        </w:rPr>
        <w:t xml:space="preserve">First </w:t>
      </w:r>
      <w:r w:rsidR="00D65EEF">
        <w:rPr>
          <w:rFonts w:ascii="Arial" w:hAnsi="Arial" w:cs="Arial"/>
          <w:sz w:val="20"/>
          <w:szCs w:val="20"/>
        </w:rPr>
        <w:t>R</w:t>
      </w:r>
      <w:r w:rsidRPr="002D3B8F">
        <w:rPr>
          <w:rFonts w:ascii="Arial" w:hAnsi="Arial" w:cs="Arial"/>
          <w:sz w:val="20"/>
          <w:szCs w:val="20"/>
        </w:rPr>
        <w:t xml:space="preserve">elease: </w:t>
      </w:r>
      <w:r w:rsidR="004C07B6">
        <w:rPr>
          <w:rFonts w:ascii="Arial" w:hAnsi="Arial" w:cs="Arial"/>
          <w:sz w:val="20"/>
          <w:szCs w:val="20"/>
        </w:rPr>
        <w:t>November</w:t>
      </w:r>
      <w:r w:rsidRPr="002D3B8F">
        <w:rPr>
          <w:rFonts w:ascii="Arial" w:hAnsi="Arial" w:cs="Arial"/>
          <w:sz w:val="20"/>
          <w:szCs w:val="20"/>
        </w:rPr>
        <w:t xml:space="preserve"> 2019</w:t>
      </w:r>
      <w:r w:rsidR="00D65EEF">
        <w:rPr>
          <w:rFonts w:ascii="Arial" w:hAnsi="Arial" w:cs="Arial"/>
          <w:sz w:val="20"/>
          <w:szCs w:val="20"/>
        </w:rPr>
        <w:t xml:space="preserve"> (White et al. 2019)</w:t>
      </w:r>
    </w:p>
    <w:p w14:paraId="680194C2" w14:textId="45070853" w:rsidR="0051712E" w:rsidRPr="002D3B8F" w:rsidRDefault="0051712E" w:rsidP="0051712E">
      <w:pPr>
        <w:rPr>
          <w:rFonts w:ascii="Arial" w:hAnsi="Arial" w:cs="Arial"/>
          <w:sz w:val="20"/>
          <w:szCs w:val="20"/>
        </w:rPr>
      </w:pPr>
      <w:r w:rsidRPr="002D3B8F">
        <w:rPr>
          <w:rFonts w:ascii="Arial" w:hAnsi="Arial" w:cs="Arial"/>
          <w:sz w:val="20"/>
          <w:szCs w:val="20"/>
        </w:rPr>
        <w:t xml:space="preserve">Current </w:t>
      </w:r>
      <w:r w:rsidR="00D65EEF">
        <w:rPr>
          <w:rFonts w:ascii="Arial" w:hAnsi="Arial" w:cs="Arial"/>
          <w:sz w:val="20"/>
          <w:szCs w:val="20"/>
        </w:rPr>
        <w:t>R</w:t>
      </w:r>
      <w:r w:rsidRPr="002D3B8F">
        <w:rPr>
          <w:rFonts w:ascii="Arial" w:hAnsi="Arial" w:cs="Arial"/>
          <w:sz w:val="20"/>
          <w:szCs w:val="20"/>
        </w:rPr>
        <w:t>elease</w:t>
      </w:r>
      <w:r w:rsidRPr="00BE40E0">
        <w:rPr>
          <w:rFonts w:ascii="Arial" w:hAnsi="Arial" w:cs="Arial"/>
          <w:sz w:val="20"/>
          <w:szCs w:val="20"/>
        </w:rPr>
        <w:t xml:space="preserve">: </w:t>
      </w:r>
      <w:r w:rsidR="004B70F5" w:rsidRPr="00BE40E0">
        <w:rPr>
          <w:rFonts w:ascii="Arial" w:hAnsi="Arial" w:cs="Arial"/>
          <w:sz w:val="20"/>
          <w:szCs w:val="20"/>
        </w:rPr>
        <w:t>November</w:t>
      </w:r>
      <w:r w:rsidRPr="00BE40E0">
        <w:rPr>
          <w:rFonts w:ascii="Arial" w:hAnsi="Arial" w:cs="Arial"/>
          <w:sz w:val="20"/>
          <w:szCs w:val="20"/>
        </w:rPr>
        <w:t xml:space="preserve"> 202</w:t>
      </w:r>
      <w:r w:rsidR="00842E32">
        <w:rPr>
          <w:rFonts w:ascii="Arial" w:hAnsi="Arial" w:cs="Arial"/>
          <w:sz w:val="20"/>
          <w:szCs w:val="20"/>
        </w:rPr>
        <w:t>5</w:t>
      </w:r>
    </w:p>
    <w:p w14:paraId="1FB4BF27" w14:textId="684A974F" w:rsidR="0051712E" w:rsidRPr="002D3B8F" w:rsidRDefault="0051712E" w:rsidP="0051712E">
      <w:pPr>
        <w:rPr>
          <w:rFonts w:ascii="Arial" w:hAnsi="Arial" w:cs="Arial"/>
          <w:b/>
          <w:bCs/>
          <w:sz w:val="20"/>
          <w:szCs w:val="20"/>
        </w:rPr>
      </w:pPr>
      <w:r w:rsidRPr="002D3B8F">
        <w:rPr>
          <w:rFonts w:ascii="Arial" w:hAnsi="Arial" w:cs="Arial"/>
          <w:b/>
          <w:bCs/>
          <w:sz w:val="20"/>
          <w:szCs w:val="20"/>
        </w:rPr>
        <w:t>Abstract</w:t>
      </w:r>
    </w:p>
    <w:p w14:paraId="11B38AAA" w14:textId="231ABC8B" w:rsidR="00985F77" w:rsidRDefault="004C07B6" w:rsidP="00842E32">
      <w:pPr>
        <w:spacing w:after="120" w:line="240" w:lineRule="auto"/>
        <w:rPr>
          <w:rFonts w:ascii="Arial" w:hAnsi="Arial" w:cs="Arial"/>
          <w:sz w:val="20"/>
          <w:szCs w:val="20"/>
        </w:rPr>
      </w:pPr>
      <w:bookmarkStart w:id="0" w:name="_Hlk118265953"/>
      <w:bookmarkStart w:id="1" w:name="_Hlk118727438"/>
      <w:r>
        <w:rPr>
          <w:rFonts w:ascii="Arial" w:hAnsi="Arial" w:cs="Arial"/>
          <w:sz w:val="20"/>
          <w:szCs w:val="20"/>
        </w:rPr>
        <w:t xml:space="preserve">The </w:t>
      </w:r>
      <w:r w:rsidR="00F0346F" w:rsidRPr="00F0346F">
        <w:rPr>
          <w:rFonts w:ascii="Arial" w:hAnsi="Arial" w:cs="Arial"/>
          <w:sz w:val="20"/>
          <w:szCs w:val="20"/>
        </w:rPr>
        <w:t>NZ_hydrogeological_unit_stacked_south_island_</w:t>
      </w:r>
      <w:r w:rsidR="00FB5A1F">
        <w:rPr>
          <w:rFonts w:ascii="Arial" w:hAnsi="Arial" w:cs="Arial"/>
          <w:sz w:val="20"/>
          <w:szCs w:val="20"/>
        </w:rPr>
        <w:t>202</w:t>
      </w:r>
      <w:r w:rsidR="00842E32">
        <w:rPr>
          <w:rFonts w:ascii="Arial" w:hAnsi="Arial" w:cs="Arial"/>
          <w:sz w:val="20"/>
          <w:szCs w:val="20"/>
        </w:rPr>
        <w:t>50131</w:t>
      </w:r>
      <w:r w:rsidRPr="002D3B8F">
        <w:rPr>
          <w:rFonts w:ascii="Arial" w:hAnsi="Arial" w:cs="Arial"/>
          <w:sz w:val="20"/>
          <w:szCs w:val="20"/>
        </w:rPr>
        <w:t>.</w:t>
      </w:r>
      <w:r w:rsidR="00F0346F">
        <w:rPr>
          <w:rFonts w:ascii="Arial" w:hAnsi="Arial" w:cs="Arial"/>
          <w:sz w:val="20"/>
          <w:szCs w:val="20"/>
        </w:rPr>
        <w:t>zip</w:t>
      </w:r>
      <w:r w:rsidRPr="002D3B8F">
        <w:rPr>
          <w:rFonts w:ascii="Arial" w:hAnsi="Arial" w:cs="Arial"/>
          <w:sz w:val="20"/>
          <w:szCs w:val="20"/>
        </w:rPr>
        <w:t xml:space="preserve">’ </w:t>
      </w:r>
      <w:r w:rsidR="00D65EEF">
        <w:rPr>
          <w:rFonts w:ascii="Arial" w:hAnsi="Arial" w:cs="Arial"/>
          <w:sz w:val="20"/>
          <w:szCs w:val="20"/>
        </w:rPr>
        <w:t>file</w:t>
      </w:r>
      <w:r>
        <w:rPr>
          <w:rFonts w:ascii="Arial" w:hAnsi="Arial" w:cs="Arial"/>
          <w:sz w:val="20"/>
          <w:szCs w:val="20"/>
        </w:rPr>
        <w:t xml:space="preserve"> </w:t>
      </w:r>
      <w:bookmarkStart w:id="2" w:name="_Hlk118265388"/>
      <w:bookmarkEnd w:id="0"/>
      <w:r w:rsidR="00CB7CDF" w:rsidRPr="002D3B8F">
        <w:rPr>
          <w:rFonts w:ascii="Arial" w:hAnsi="Arial" w:cs="Arial"/>
          <w:sz w:val="20"/>
          <w:szCs w:val="20"/>
        </w:rPr>
        <w:t>consists of</w:t>
      </w:r>
      <w:r w:rsidR="00985F77">
        <w:rPr>
          <w:rFonts w:ascii="Arial" w:hAnsi="Arial" w:cs="Arial"/>
          <w:sz w:val="20"/>
          <w:szCs w:val="20"/>
        </w:rPr>
        <w:t xml:space="preserve"> the following complementary files:</w:t>
      </w:r>
    </w:p>
    <w:p w14:paraId="4900B84F" w14:textId="3D276382" w:rsidR="00985F77" w:rsidRPr="00985F77" w:rsidRDefault="00CB7CDF" w:rsidP="00985F77">
      <w:pPr>
        <w:pStyle w:val="ListParagraph"/>
        <w:numPr>
          <w:ilvl w:val="0"/>
          <w:numId w:val="10"/>
        </w:numPr>
        <w:jc w:val="both"/>
        <w:rPr>
          <w:rFonts w:ascii="Arial" w:hAnsi="Arial" w:cs="Arial"/>
          <w:sz w:val="20"/>
          <w:szCs w:val="20"/>
        </w:rPr>
      </w:pPr>
      <w:r w:rsidRPr="00985F77">
        <w:rPr>
          <w:rFonts w:ascii="Arial" w:hAnsi="Arial" w:cs="Arial"/>
          <w:sz w:val="20"/>
          <w:szCs w:val="20"/>
        </w:rPr>
        <w:t>‘NZ_hydrogeological_unit_stacked</w:t>
      </w:r>
      <w:r w:rsidR="00985F77" w:rsidRPr="00985F77">
        <w:rPr>
          <w:rFonts w:ascii="Arial" w:hAnsi="Arial" w:cs="Arial"/>
          <w:sz w:val="20"/>
          <w:szCs w:val="20"/>
        </w:rPr>
        <w:t>_</w:t>
      </w:r>
      <w:r w:rsidR="00F0346F">
        <w:rPr>
          <w:rFonts w:ascii="Arial" w:hAnsi="Arial" w:cs="Arial"/>
          <w:sz w:val="20"/>
          <w:szCs w:val="20"/>
        </w:rPr>
        <w:t>south_island_</w:t>
      </w:r>
      <w:r w:rsidR="00985F77" w:rsidRPr="00985F77">
        <w:rPr>
          <w:rFonts w:ascii="Arial" w:hAnsi="Arial" w:cs="Arial"/>
          <w:sz w:val="20"/>
          <w:szCs w:val="20"/>
        </w:rPr>
        <w:t>202</w:t>
      </w:r>
      <w:r w:rsidR="00842E32">
        <w:rPr>
          <w:rFonts w:ascii="Arial" w:hAnsi="Arial" w:cs="Arial"/>
          <w:sz w:val="20"/>
          <w:szCs w:val="20"/>
        </w:rPr>
        <w:t>50131</w:t>
      </w:r>
      <w:r w:rsidRPr="00985F77">
        <w:rPr>
          <w:rFonts w:ascii="Arial" w:hAnsi="Arial" w:cs="Arial"/>
          <w:sz w:val="20"/>
          <w:szCs w:val="20"/>
        </w:rPr>
        <w:t xml:space="preserve">.shp’ </w:t>
      </w:r>
      <w:r w:rsidR="001F0D8C">
        <w:rPr>
          <w:rFonts w:ascii="Arial" w:hAnsi="Arial" w:cs="Arial"/>
          <w:sz w:val="20"/>
          <w:szCs w:val="20"/>
        </w:rPr>
        <w:t>which consist of</w:t>
      </w:r>
      <w:r w:rsidR="001F0D8C" w:rsidRPr="001F0D8C">
        <w:rPr>
          <w:rFonts w:ascii="Arial" w:hAnsi="Arial" w:cs="Arial"/>
          <w:sz w:val="20"/>
          <w:szCs w:val="20"/>
        </w:rPr>
        <w:t xml:space="preserve"> </w:t>
      </w:r>
      <w:r w:rsidR="001F0D8C" w:rsidRPr="004C07B6">
        <w:rPr>
          <w:rFonts w:ascii="Arial" w:hAnsi="Arial" w:cs="Arial"/>
          <w:sz w:val="20"/>
          <w:szCs w:val="20"/>
        </w:rPr>
        <w:t xml:space="preserve">overlapping stacked polygons that represent hydrogeological units </w:t>
      </w:r>
      <w:r w:rsidR="001F0D8C">
        <w:rPr>
          <w:rFonts w:ascii="Arial" w:hAnsi="Arial" w:cs="Arial"/>
          <w:sz w:val="20"/>
          <w:szCs w:val="20"/>
        </w:rPr>
        <w:t>(i.e.,</w:t>
      </w:r>
      <w:r w:rsidR="001F0D8C" w:rsidRPr="004C07B6">
        <w:rPr>
          <w:rFonts w:ascii="Arial" w:hAnsi="Arial" w:cs="Arial"/>
          <w:sz w:val="20"/>
          <w:szCs w:val="20"/>
        </w:rPr>
        <w:t xml:space="preserve"> aquifers, aquitards, aquicludes and basement</w:t>
      </w:r>
      <w:r w:rsidR="001F0D8C">
        <w:rPr>
          <w:rFonts w:ascii="Arial" w:hAnsi="Arial" w:cs="Arial"/>
          <w:sz w:val="20"/>
          <w:szCs w:val="20"/>
        </w:rPr>
        <w:t>)</w:t>
      </w:r>
      <w:r w:rsidR="001F0D8C" w:rsidRPr="004C07B6">
        <w:rPr>
          <w:rFonts w:ascii="Arial" w:hAnsi="Arial" w:cs="Arial"/>
          <w:sz w:val="20"/>
          <w:szCs w:val="20"/>
        </w:rPr>
        <w:t xml:space="preserve"> developed in a </w:t>
      </w:r>
      <w:r w:rsidR="001F0D8C" w:rsidRPr="00BE40E0">
        <w:rPr>
          <w:rFonts w:ascii="Arial" w:hAnsi="Arial" w:cs="Arial"/>
          <w:sz w:val="20"/>
          <w:szCs w:val="20"/>
        </w:rPr>
        <w:t>nationally-consistent manner.</w:t>
      </w:r>
    </w:p>
    <w:p w14:paraId="5B647386" w14:textId="5FF5F17F" w:rsidR="00985F77" w:rsidRPr="00985F77" w:rsidRDefault="00985F77" w:rsidP="00D464AC">
      <w:pPr>
        <w:pStyle w:val="ListParagraph"/>
        <w:numPr>
          <w:ilvl w:val="0"/>
          <w:numId w:val="10"/>
        </w:numPr>
        <w:jc w:val="both"/>
        <w:rPr>
          <w:rFonts w:ascii="Arial" w:hAnsi="Arial" w:cs="Arial"/>
          <w:sz w:val="20"/>
          <w:szCs w:val="20"/>
        </w:rPr>
      </w:pPr>
      <w:r w:rsidRPr="00985F77">
        <w:rPr>
          <w:rFonts w:ascii="Arial" w:hAnsi="Arial" w:cs="Arial"/>
          <w:sz w:val="20"/>
          <w:szCs w:val="20"/>
        </w:rPr>
        <w:t>‘</w:t>
      </w:r>
      <w:r w:rsidR="00CB7CDF" w:rsidRPr="00985F77">
        <w:rPr>
          <w:rFonts w:ascii="Arial" w:hAnsi="Arial" w:cs="Arial"/>
          <w:sz w:val="20"/>
          <w:szCs w:val="20"/>
        </w:rPr>
        <w:t>HUM_data_dictionary</w:t>
      </w:r>
      <w:r w:rsidR="00092BA9">
        <w:rPr>
          <w:rFonts w:ascii="Arial" w:hAnsi="Arial" w:cs="Arial"/>
          <w:sz w:val="20"/>
          <w:szCs w:val="20"/>
        </w:rPr>
        <w:t>_202</w:t>
      </w:r>
      <w:r w:rsidR="00842E32">
        <w:rPr>
          <w:rFonts w:ascii="Arial" w:hAnsi="Arial" w:cs="Arial"/>
          <w:sz w:val="20"/>
          <w:szCs w:val="20"/>
        </w:rPr>
        <w:t>50131</w:t>
      </w:r>
      <w:r w:rsidR="00CB7CDF" w:rsidRPr="00985F77">
        <w:rPr>
          <w:rFonts w:ascii="Arial" w:hAnsi="Arial" w:cs="Arial"/>
          <w:sz w:val="20"/>
          <w:szCs w:val="20"/>
        </w:rPr>
        <w:t>.csv</w:t>
      </w:r>
      <w:r w:rsidRPr="00985F77">
        <w:rPr>
          <w:rFonts w:ascii="Arial" w:hAnsi="Arial" w:cs="Arial"/>
          <w:sz w:val="20"/>
          <w:szCs w:val="20"/>
        </w:rPr>
        <w:t xml:space="preserve">’ </w:t>
      </w:r>
      <w:r>
        <w:rPr>
          <w:rFonts w:ascii="Arial" w:hAnsi="Arial" w:cs="Arial"/>
          <w:sz w:val="20"/>
          <w:szCs w:val="20"/>
        </w:rPr>
        <w:t>which</w:t>
      </w:r>
      <w:r w:rsidRPr="00985F77">
        <w:rPr>
          <w:rFonts w:ascii="Arial" w:hAnsi="Arial" w:cs="Arial"/>
          <w:sz w:val="20"/>
          <w:szCs w:val="20"/>
        </w:rPr>
        <w:t xml:space="preserve"> summarises attributes, values and descriptions</w:t>
      </w:r>
      <w:r w:rsidR="00CB7CDF" w:rsidRPr="00CB7CDF">
        <w:t xml:space="preserve"> </w:t>
      </w:r>
      <w:r>
        <w:t>from the GIS dataset</w:t>
      </w:r>
      <w:r w:rsidR="00D65EEF">
        <w:t>;</w:t>
      </w:r>
    </w:p>
    <w:p w14:paraId="448B2A8B" w14:textId="6FAF2AE3" w:rsidR="00CB7CDF" w:rsidRPr="00985F77" w:rsidRDefault="00985F77" w:rsidP="00D464AC">
      <w:pPr>
        <w:pStyle w:val="ListParagraph"/>
        <w:numPr>
          <w:ilvl w:val="0"/>
          <w:numId w:val="10"/>
        </w:numPr>
        <w:jc w:val="both"/>
        <w:rPr>
          <w:rFonts w:ascii="Arial" w:hAnsi="Arial" w:cs="Arial"/>
          <w:sz w:val="20"/>
          <w:szCs w:val="20"/>
        </w:rPr>
      </w:pPr>
      <w:r>
        <w:t>‘</w:t>
      </w:r>
      <w:r w:rsidR="00CB7CDF" w:rsidRPr="00985F77">
        <w:rPr>
          <w:rFonts w:ascii="Arial" w:hAnsi="Arial" w:cs="Arial"/>
          <w:sz w:val="20"/>
          <w:szCs w:val="20"/>
        </w:rPr>
        <w:t>HUM_unit_list</w:t>
      </w:r>
      <w:r w:rsidR="00092BA9">
        <w:rPr>
          <w:rFonts w:ascii="Arial" w:hAnsi="Arial" w:cs="Arial"/>
          <w:sz w:val="20"/>
          <w:szCs w:val="20"/>
        </w:rPr>
        <w:t>_202</w:t>
      </w:r>
      <w:r w:rsidR="00842E32">
        <w:rPr>
          <w:rFonts w:ascii="Arial" w:hAnsi="Arial" w:cs="Arial"/>
          <w:sz w:val="20"/>
          <w:szCs w:val="20"/>
        </w:rPr>
        <w:t>50131</w:t>
      </w:r>
      <w:r w:rsidR="00CB7CDF" w:rsidRPr="00985F77">
        <w:rPr>
          <w:rFonts w:ascii="Arial" w:hAnsi="Arial" w:cs="Arial"/>
          <w:sz w:val="20"/>
          <w:szCs w:val="20"/>
        </w:rPr>
        <w:t>.csv</w:t>
      </w:r>
      <w:r>
        <w:rPr>
          <w:rFonts w:ascii="Arial" w:hAnsi="Arial" w:cs="Arial"/>
          <w:sz w:val="20"/>
          <w:szCs w:val="20"/>
        </w:rPr>
        <w:t>’ which lists HUM unit names</w:t>
      </w:r>
      <w:r w:rsidR="00D65EEF">
        <w:rPr>
          <w:rFonts w:ascii="Arial" w:hAnsi="Arial" w:cs="Arial"/>
          <w:sz w:val="20"/>
          <w:szCs w:val="20"/>
        </w:rPr>
        <w:t>;</w:t>
      </w:r>
    </w:p>
    <w:p w14:paraId="3DF563A2" w14:textId="4F1A9755" w:rsidR="00CB7CDF" w:rsidRPr="00985F77" w:rsidRDefault="00985F77" w:rsidP="00985F77">
      <w:pPr>
        <w:pStyle w:val="ListParagraph"/>
        <w:numPr>
          <w:ilvl w:val="0"/>
          <w:numId w:val="10"/>
        </w:numPr>
        <w:jc w:val="both"/>
        <w:rPr>
          <w:rFonts w:ascii="Arial" w:hAnsi="Arial" w:cs="Arial"/>
          <w:sz w:val="20"/>
          <w:szCs w:val="20"/>
        </w:rPr>
      </w:pPr>
      <w:r>
        <w:rPr>
          <w:rFonts w:ascii="Arial" w:hAnsi="Arial" w:cs="Arial"/>
          <w:sz w:val="20"/>
          <w:szCs w:val="20"/>
        </w:rPr>
        <w:t>‘</w:t>
      </w:r>
      <w:r w:rsidR="00CB7CDF" w:rsidRPr="00985F77">
        <w:rPr>
          <w:rFonts w:ascii="Arial" w:hAnsi="Arial" w:cs="Arial"/>
          <w:sz w:val="20"/>
          <w:szCs w:val="20"/>
        </w:rPr>
        <w:t>HUM_facies_list</w:t>
      </w:r>
      <w:r w:rsidR="00092BA9">
        <w:rPr>
          <w:rFonts w:ascii="Arial" w:hAnsi="Arial" w:cs="Arial"/>
          <w:sz w:val="20"/>
          <w:szCs w:val="20"/>
        </w:rPr>
        <w:t>_202</w:t>
      </w:r>
      <w:r w:rsidR="00842E32">
        <w:rPr>
          <w:rFonts w:ascii="Arial" w:hAnsi="Arial" w:cs="Arial"/>
          <w:sz w:val="20"/>
          <w:szCs w:val="20"/>
        </w:rPr>
        <w:t>50131</w:t>
      </w:r>
      <w:r w:rsidR="00CB7CDF" w:rsidRPr="00985F77">
        <w:rPr>
          <w:rFonts w:ascii="Arial" w:hAnsi="Arial" w:cs="Arial"/>
          <w:sz w:val="20"/>
          <w:szCs w:val="20"/>
        </w:rPr>
        <w:t>.csv</w:t>
      </w:r>
      <w:r>
        <w:rPr>
          <w:rFonts w:ascii="Arial" w:hAnsi="Arial" w:cs="Arial"/>
          <w:sz w:val="20"/>
          <w:szCs w:val="20"/>
        </w:rPr>
        <w:t>’ which lists facies names</w:t>
      </w:r>
      <w:r w:rsidR="00D65EEF">
        <w:rPr>
          <w:rFonts w:ascii="Arial" w:hAnsi="Arial" w:cs="Arial"/>
          <w:sz w:val="20"/>
          <w:szCs w:val="20"/>
        </w:rPr>
        <w:t>;</w:t>
      </w:r>
    </w:p>
    <w:p w14:paraId="2E629E82" w14:textId="26894C37" w:rsidR="00985F77" w:rsidRDefault="00985F77" w:rsidP="008B6C6A">
      <w:pPr>
        <w:pStyle w:val="ListParagraph"/>
        <w:numPr>
          <w:ilvl w:val="0"/>
          <w:numId w:val="10"/>
        </w:numPr>
        <w:jc w:val="both"/>
        <w:rPr>
          <w:rFonts w:ascii="Arial" w:hAnsi="Arial" w:cs="Arial"/>
          <w:sz w:val="20"/>
          <w:szCs w:val="20"/>
        </w:rPr>
      </w:pPr>
      <w:r w:rsidRPr="00985F77">
        <w:rPr>
          <w:rFonts w:ascii="Arial" w:hAnsi="Arial" w:cs="Arial"/>
          <w:sz w:val="20"/>
          <w:szCs w:val="20"/>
        </w:rPr>
        <w:t>‘</w:t>
      </w:r>
      <w:r w:rsidR="00CB7CDF" w:rsidRPr="00985F77">
        <w:rPr>
          <w:rFonts w:ascii="Arial" w:hAnsi="Arial" w:cs="Arial"/>
          <w:sz w:val="20"/>
          <w:szCs w:val="20"/>
        </w:rPr>
        <w:t>HUM_facies_model_list</w:t>
      </w:r>
      <w:r w:rsidR="00092BA9">
        <w:rPr>
          <w:rFonts w:ascii="Arial" w:hAnsi="Arial" w:cs="Arial"/>
          <w:sz w:val="20"/>
          <w:szCs w:val="20"/>
        </w:rPr>
        <w:t>_202</w:t>
      </w:r>
      <w:r w:rsidR="00842E32">
        <w:rPr>
          <w:rFonts w:ascii="Arial" w:hAnsi="Arial" w:cs="Arial"/>
          <w:sz w:val="20"/>
          <w:szCs w:val="20"/>
        </w:rPr>
        <w:t>50131</w:t>
      </w:r>
      <w:r w:rsidR="00CB7CDF" w:rsidRPr="00985F77">
        <w:rPr>
          <w:rFonts w:ascii="Arial" w:hAnsi="Arial" w:cs="Arial"/>
          <w:sz w:val="20"/>
          <w:szCs w:val="20"/>
        </w:rPr>
        <w:t>.csv</w:t>
      </w:r>
      <w:r w:rsidRPr="00985F77">
        <w:rPr>
          <w:rFonts w:ascii="Arial" w:hAnsi="Arial" w:cs="Arial"/>
          <w:sz w:val="20"/>
          <w:szCs w:val="20"/>
        </w:rPr>
        <w:t>’ which lists current facies model and their definition criteria</w:t>
      </w:r>
      <w:r>
        <w:rPr>
          <w:rFonts w:ascii="Arial" w:hAnsi="Arial" w:cs="Arial"/>
          <w:sz w:val="20"/>
          <w:szCs w:val="20"/>
        </w:rPr>
        <w:t>.</w:t>
      </w:r>
    </w:p>
    <w:p w14:paraId="1F3A713D" w14:textId="07E16E87" w:rsidR="00BE40E0" w:rsidRPr="00985F77" w:rsidRDefault="004C07B6" w:rsidP="00985F77">
      <w:pPr>
        <w:jc w:val="both"/>
        <w:rPr>
          <w:rFonts w:ascii="Arial" w:hAnsi="Arial" w:cs="Arial"/>
          <w:sz w:val="20"/>
          <w:szCs w:val="20"/>
        </w:rPr>
      </w:pPr>
      <w:r w:rsidRPr="00985F77">
        <w:rPr>
          <w:rFonts w:ascii="Arial" w:hAnsi="Arial" w:cs="Arial"/>
          <w:sz w:val="20"/>
          <w:szCs w:val="20"/>
        </w:rPr>
        <w:t>Each polygon is attributed</w:t>
      </w:r>
      <w:r w:rsidR="00F0346F">
        <w:rPr>
          <w:rFonts w:ascii="Arial" w:hAnsi="Arial" w:cs="Arial"/>
          <w:sz w:val="20"/>
          <w:szCs w:val="20"/>
        </w:rPr>
        <w:t xml:space="preserve"> with</w:t>
      </w:r>
      <w:r w:rsidR="00351114" w:rsidRPr="00985F77">
        <w:rPr>
          <w:rFonts w:ascii="Arial" w:hAnsi="Arial" w:cs="Arial"/>
          <w:sz w:val="20"/>
          <w:szCs w:val="20"/>
        </w:rPr>
        <w:t xml:space="preserve"> </w:t>
      </w:r>
      <w:r w:rsidR="00BE40E0" w:rsidRPr="00985F77">
        <w:rPr>
          <w:rFonts w:ascii="Arial" w:hAnsi="Arial" w:cs="Arial"/>
          <w:sz w:val="20"/>
          <w:szCs w:val="20"/>
        </w:rPr>
        <w:t>the following</w:t>
      </w:r>
      <w:r w:rsidRPr="00985F77">
        <w:rPr>
          <w:rFonts w:ascii="Arial" w:hAnsi="Arial" w:cs="Arial"/>
          <w:sz w:val="20"/>
          <w:szCs w:val="20"/>
        </w:rPr>
        <w:t xml:space="preserve"> attributes (</w:t>
      </w:r>
      <w:r w:rsidR="00F0346F">
        <w:rPr>
          <w:rFonts w:ascii="Arial" w:hAnsi="Arial" w:cs="Arial"/>
          <w:sz w:val="20"/>
          <w:szCs w:val="20"/>
        </w:rPr>
        <w:t xml:space="preserve">dataset </w:t>
      </w:r>
      <w:r w:rsidRPr="00985F77">
        <w:rPr>
          <w:rFonts w:ascii="Arial" w:hAnsi="Arial" w:cs="Arial"/>
          <w:sz w:val="20"/>
          <w:szCs w:val="20"/>
        </w:rPr>
        <w:t>attribute names in brackets)</w:t>
      </w:r>
      <w:r w:rsidR="00351114" w:rsidRPr="00985F77">
        <w:rPr>
          <w:rFonts w:ascii="Arial" w:hAnsi="Arial" w:cs="Arial"/>
          <w:sz w:val="20"/>
          <w:szCs w:val="20"/>
        </w:rPr>
        <w:t xml:space="preserve">: </w:t>
      </w:r>
    </w:p>
    <w:p w14:paraId="7C2E2A62" w14:textId="56CA9FC2" w:rsidR="00406954" w:rsidRPr="00CE082D" w:rsidRDefault="00406954" w:rsidP="00406954">
      <w:pPr>
        <w:pStyle w:val="ListParagraph"/>
        <w:numPr>
          <w:ilvl w:val="0"/>
          <w:numId w:val="9"/>
        </w:numPr>
        <w:jc w:val="both"/>
        <w:rPr>
          <w:rFonts w:ascii="Arial" w:hAnsi="Arial" w:cs="Arial"/>
          <w:sz w:val="20"/>
          <w:szCs w:val="20"/>
        </w:rPr>
      </w:pPr>
      <w:r w:rsidRPr="00CE082D">
        <w:rPr>
          <w:rFonts w:ascii="Arial" w:hAnsi="Arial" w:cs="Arial"/>
          <w:sz w:val="20"/>
          <w:szCs w:val="20"/>
        </w:rPr>
        <w:t xml:space="preserve">unique identification number (HUM_ID), </w:t>
      </w:r>
    </w:p>
    <w:p w14:paraId="28BE650F" w14:textId="77777777" w:rsidR="00406954" w:rsidRPr="00CE082D" w:rsidRDefault="00406954" w:rsidP="00406954">
      <w:pPr>
        <w:pStyle w:val="ListParagraph"/>
        <w:numPr>
          <w:ilvl w:val="0"/>
          <w:numId w:val="9"/>
        </w:numPr>
        <w:jc w:val="both"/>
        <w:rPr>
          <w:rFonts w:ascii="Arial" w:hAnsi="Arial" w:cs="Arial"/>
          <w:sz w:val="20"/>
          <w:szCs w:val="20"/>
        </w:rPr>
      </w:pPr>
      <w:r w:rsidRPr="00CE082D">
        <w:rPr>
          <w:rFonts w:ascii="Arial" w:hAnsi="Arial" w:cs="Arial"/>
          <w:sz w:val="20"/>
          <w:szCs w:val="20"/>
        </w:rPr>
        <w:t xml:space="preserve">unique name (HUM_name), </w:t>
      </w:r>
    </w:p>
    <w:p w14:paraId="2ACF418F" w14:textId="43C1C84E" w:rsidR="00BE40E0" w:rsidRPr="00CE082D" w:rsidRDefault="004C07B6" w:rsidP="00406954">
      <w:pPr>
        <w:pStyle w:val="ListParagraph"/>
        <w:numPr>
          <w:ilvl w:val="0"/>
          <w:numId w:val="9"/>
        </w:numPr>
        <w:jc w:val="both"/>
        <w:rPr>
          <w:rFonts w:ascii="Arial" w:hAnsi="Arial" w:cs="Arial"/>
          <w:sz w:val="20"/>
          <w:szCs w:val="20"/>
        </w:rPr>
      </w:pPr>
      <w:r w:rsidRPr="00CE082D">
        <w:rPr>
          <w:rFonts w:ascii="Arial" w:hAnsi="Arial" w:cs="Arial"/>
          <w:sz w:val="20"/>
          <w:szCs w:val="20"/>
        </w:rPr>
        <w:t xml:space="preserve">hydrogeological unit type (HUM_type), </w:t>
      </w:r>
    </w:p>
    <w:p w14:paraId="11CC191D" w14:textId="77777777" w:rsidR="00BE40E0" w:rsidRPr="00CE082D" w:rsidRDefault="004C07B6" w:rsidP="00406954">
      <w:pPr>
        <w:pStyle w:val="ListParagraph"/>
        <w:numPr>
          <w:ilvl w:val="0"/>
          <w:numId w:val="9"/>
        </w:numPr>
        <w:jc w:val="both"/>
        <w:rPr>
          <w:rFonts w:ascii="Arial" w:hAnsi="Arial" w:cs="Arial"/>
          <w:sz w:val="20"/>
          <w:szCs w:val="20"/>
        </w:rPr>
      </w:pPr>
      <w:r w:rsidRPr="00CE082D">
        <w:rPr>
          <w:rFonts w:ascii="Arial" w:hAnsi="Arial" w:cs="Arial"/>
          <w:sz w:val="20"/>
          <w:szCs w:val="20"/>
        </w:rPr>
        <w:t xml:space="preserve">geological era (HUM_era), </w:t>
      </w:r>
    </w:p>
    <w:p w14:paraId="49AC5FE1" w14:textId="77777777" w:rsidR="00BE40E0" w:rsidRPr="00CE082D" w:rsidRDefault="004C07B6" w:rsidP="00406954">
      <w:pPr>
        <w:pStyle w:val="ListParagraph"/>
        <w:numPr>
          <w:ilvl w:val="0"/>
          <w:numId w:val="9"/>
        </w:numPr>
        <w:jc w:val="both"/>
        <w:rPr>
          <w:rFonts w:ascii="Arial" w:hAnsi="Arial" w:cs="Arial"/>
          <w:sz w:val="20"/>
          <w:szCs w:val="20"/>
        </w:rPr>
      </w:pPr>
      <w:r w:rsidRPr="00CE082D">
        <w:rPr>
          <w:rFonts w:ascii="Arial" w:hAnsi="Arial" w:cs="Arial"/>
          <w:sz w:val="20"/>
          <w:szCs w:val="20"/>
        </w:rPr>
        <w:t>geological age descriptor (HUM_age)</w:t>
      </w:r>
      <w:r w:rsidR="009A008D" w:rsidRPr="00CE082D">
        <w:rPr>
          <w:rFonts w:ascii="Arial" w:hAnsi="Arial" w:cs="Arial"/>
          <w:sz w:val="20"/>
          <w:szCs w:val="20"/>
        </w:rPr>
        <w:t xml:space="preserve">, </w:t>
      </w:r>
    </w:p>
    <w:p w14:paraId="5F274DC8" w14:textId="77777777" w:rsidR="00BE40E0" w:rsidRPr="00CE082D" w:rsidRDefault="004C07B6" w:rsidP="00406954">
      <w:pPr>
        <w:pStyle w:val="ListParagraph"/>
        <w:numPr>
          <w:ilvl w:val="0"/>
          <w:numId w:val="9"/>
        </w:numPr>
        <w:jc w:val="both"/>
        <w:rPr>
          <w:rFonts w:ascii="Arial" w:hAnsi="Arial" w:cs="Arial"/>
          <w:sz w:val="20"/>
          <w:szCs w:val="20"/>
        </w:rPr>
      </w:pPr>
      <w:r w:rsidRPr="00CE082D">
        <w:rPr>
          <w:rFonts w:ascii="Arial" w:hAnsi="Arial" w:cs="Arial"/>
          <w:sz w:val="20"/>
          <w:szCs w:val="20"/>
        </w:rPr>
        <w:t>lithological type (HUM_lith)</w:t>
      </w:r>
      <w:r w:rsidR="009A008D" w:rsidRPr="00CE082D">
        <w:rPr>
          <w:rFonts w:ascii="Arial" w:hAnsi="Arial" w:cs="Arial"/>
          <w:sz w:val="20"/>
          <w:szCs w:val="20"/>
        </w:rPr>
        <w:t xml:space="preserve">, </w:t>
      </w:r>
    </w:p>
    <w:p w14:paraId="04ECF204" w14:textId="611B4238" w:rsidR="00BE40E0" w:rsidRPr="00CE082D" w:rsidRDefault="004C07B6" w:rsidP="00406954">
      <w:pPr>
        <w:pStyle w:val="ListParagraph"/>
        <w:numPr>
          <w:ilvl w:val="0"/>
          <w:numId w:val="9"/>
        </w:numPr>
        <w:jc w:val="both"/>
        <w:rPr>
          <w:rFonts w:ascii="Arial" w:hAnsi="Arial" w:cs="Arial"/>
          <w:sz w:val="20"/>
          <w:szCs w:val="20"/>
        </w:rPr>
      </w:pPr>
      <w:r w:rsidRPr="00CE082D">
        <w:rPr>
          <w:rFonts w:ascii="Arial" w:hAnsi="Arial" w:cs="Arial"/>
          <w:sz w:val="20"/>
          <w:szCs w:val="20"/>
        </w:rPr>
        <w:t>lithological descriptor (HUM_rock)</w:t>
      </w:r>
      <w:r w:rsidR="00D65EEF">
        <w:rPr>
          <w:rFonts w:ascii="Arial" w:hAnsi="Arial" w:cs="Arial"/>
          <w:sz w:val="20"/>
          <w:szCs w:val="20"/>
        </w:rPr>
        <w:t>,</w:t>
      </w:r>
    </w:p>
    <w:p w14:paraId="1DBB6957" w14:textId="6DC843B8" w:rsidR="004E07F8" w:rsidRPr="00CE082D" w:rsidRDefault="004E07F8" w:rsidP="004E07F8">
      <w:pPr>
        <w:pStyle w:val="ListParagraph"/>
        <w:numPr>
          <w:ilvl w:val="0"/>
          <w:numId w:val="9"/>
        </w:numPr>
        <w:jc w:val="both"/>
        <w:rPr>
          <w:rFonts w:ascii="Arial" w:hAnsi="Arial" w:cs="Arial"/>
          <w:sz w:val="20"/>
          <w:szCs w:val="20"/>
        </w:rPr>
      </w:pPr>
      <w:r>
        <w:rPr>
          <w:rFonts w:ascii="Arial" w:hAnsi="Arial" w:cs="Arial"/>
          <w:sz w:val="20"/>
          <w:szCs w:val="20"/>
        </w:rPr>
        <w:t xml:space="preserve">polygon-specific </w:t>
      </w:r>
      <w:r w:rsidRPr="00CE082D">
        <w:rPr>
          <w:rFonts w:ascii="Arial" w:hAnsi="Arial" w:cs="Arial"/>
          <w:sz w:val="20"/>
          <w:szCs w:val="20"/>
        </w:rPr>
        <w:t>depositional facies name (facies)</w:t>
      </w:r>
      <w:r w:rsidR="00D65EEF">
        <w:rPr>
          <w:rFonts w:ascii="Arial" w:hAnsi="Arial" w:cs="Arial"/>
          <w:sz w:val="20"/>
          <w:szCs w:val="20"/>
        </w:rPr>
        <w:t>,</w:t>
      </w:r>
    </w:p>
    <w:p w14:paraId="09162473" w14:textId="4996FED9" w:rsidR="00CE082D" w:rsidRPr="00CE082D" w:rsidRDefault="00CE082D" w:rsidP="00CE082D">
      <w:pPr>
        <w:pStyle w:val="ListParagraph"/>
        <w:numPr>
          <w:ilvl w:val="0"/>
          <w:numId w:val="9"/>
        </w:numPr>
        <w:jc w:val="both"/>
        <w:rPr>
          <w:rFonts w:ascii="Arial" w:hAnsi="Arial" w:cs="Arial"/>
          <w:sz w:val="20"/>
          <w:szCs w:val="20"/>
        </w:rPr>
      </w:pPr>
      <w:r w:rsidRPr="00CE082D">
        <w:rPr>
          <w:rFonts w:ascii="Arial" w:hAnsi="Arial" w:cs="Arial"/>
          <w:sz w:val="20"/>
          <w:szCs w:val="20"/>
        </w:rPr>
        <w:t xml:space="preserve">where applicable, </w:t>
      </w:r>
      <w:r w:rsidR="00D731BE">
        <w:rPr>
          <w:rFonts w:ascii="Arial" w:hAnsi="Arial" w:cs="Arial"/>
          <w:sz w:val="20"/>
          <w:szCs w:val="20"/>
        </w:rPr>
        <w:t>hydrogeological system</w:t>
      </w:r>
      <w:r>
        <w:rPr>
          <w:rFonts w:ascii="Arial" w:hAnsi="Arial" w:cs="Arial"/>
          <w:sz w:val="20"/>
          <w:szCs w:val="20"/>
        </w:rPr>
        <w:t xml:space="preserve">-specific </w:t>
      </w:r>
      <w:r w:rsidRPr="00CE082D">
        <w:rPr>
          <w:rFonts w:ascii="Arial" w:hAnsi="Arial" w:cs="Arial"/>
          <w:sz w:val="20"/>
          <w:szCs w:val="20"/>
        </w:rPr>
        <w:t>reference to the representative volcanic facies model (volc_model)</w:t>
      </w:r>
      <w:r w:rsidR="00D65EEF">
        <w:rPr>
          <w:rFonts w:ascii="Arial" w:hAnsi="Arial" w:cs="Arial"/>
          <w:sz w:val="20"/>
          <w:szCs w:val="20"/>
        </w:rPr>
        <w:t>,</w:t>
      </w:r>
    </w:p>
    <w:p w14:paraId="3180FCF6" w14:textId="7B24D272" w:rsidR="00CE082D" w:rsidRPr="00CE082D" w:rsidRDefault="00CE082D" w:rsidP="00CE082D">
      <w:pPr>
        <w:pStyle w:val="ListParagraph"/>
        <w:numPr>
          <w:ilvl w:val="0"/>
          <w:numId w:val="9"/>
        </w:numPr>
        <w:jc w:val="both"/>
        <w:rPr>
          <w:rFonts w:ascii="Arial" w:hAnsi="Arial" w:cs="Arial"/>
          <w:sz w:val="20"/>
          <w:szCs w:val="20"/>
        </w:rPr>
      </w:pPr>
      <w:r>
        <w:rPr>
          <w:rFonts w:ascii="Arial" w:hAnsi="Arial" w:cs="Arial"/>
          <w:sz w:val="20"/>
          <w:szCs w:val="20"/>
        </w:rPr>
        <w:t>w</w:t>
      </w:r>
      <w:r w:rsidRPr="00CE082D">
        <w:rPr>
          <w:rFonts w:ascii="Arial" w:hAnsi="Arial" w:cs="Arial"/>
          <w:sz w:val="20"/>
          <w:szCs w:val="20"/>
        </w:rPr>
        <w:t xml:space="preserve">here applicable, </w:t>
      </w:r>
      <w:r w:rsidR="00D731BE">
        <w:rPr>
          <w:rFonts w:ascii="Arial" w:hAnsi="Arial" w:cs="Arial"/>
          <w:sz w:val="20"/>
          <w:szCs w:val="20"/>
        </w:rPr>
        <w:t>hydrogeological system</w:t>
      </w:r>
      <w:r>
        <w:rPr>
          <w:rFonts w:ascii="Arial" w:hAnsi="Arial" w:cs="Arial"/>
          <w:sz w:val="20"/>
          <w:szCs w:val="20"/>
        </w:rPr>
        <w:t xml:space="preserve">-specific </w:t>
      </w:r>
      <w:r w:rsidRPr="00CE082D">
        <w:rPr>
          <w:rFonts w:ascii="Arial" w:hAnsi="Arial" w:cs="Arial"/>
          <w:sz w:val="20"/>
          <w:szCs w:val="20"/>
        </w:rPr>
        <w:t>reference to the representative</w:t>
      </w:r>
      <w:r w:rsidR="00D65EEF">
        <w:rPr>
          <w:rFonts w:ascii="Arial" w:hAnsi="Arial" w:cs="Arial"/>
          <w:sz w:val="20"/>
          <w:szCs w:val="20"/>
        </w:rPr>
        <w:t xml:space="preserve"> </w:t>
      </w:r>
      <w:r w:rsidRPr="00CE082D">
        <w:rPr>
          <w:rFonts w:ascii="Arial" w:hAnsi="Arial" w:cs="Arial"/>
          <w:sz w:val="20"/>
          <w:szCs w:val="20"/>
        </w:rPr>
        <w:t>sedimentary facies model (sed_model)</w:t>
      </w:r>
      <w:r w:rsidR="00D65EEF">
        <w:rPr>
          <w:rFonts w:ascii="Arial" w:hAnsi="Arial" w:cs="Arial"/>
          <w:sz w:val="20"/>
          <w:szCs w:val="20"/>
        </w:rPr>
        <w:t>,</w:t>
      </w:r>
    </w:p>
    <w:p w14:paraId="540765CA" w14:textId="4EAA4CBC" w:rsidR="00406954" w:rsidRPr="00CE082D" w:rsidRDefault="00CE082D" w:rsidP="00406954">
      <w:pPr>
        <w:pStyle w:val="ListParagraph"/>
        <w:numPr>
          <w:ilvl w:val="0"/>
          <w:numId w:val="9"/>
        </w:numPr>
        <w:jc w:val="both"/>
        <w:rPr>
          <w:rFonts w:ascii="Arial" w:hAnsi="Arial" w:cs="Arial"/>
          <w:sz w:val="20"/>
          <w:szCs w:val="20"/>
        </w:rPr>
      </w:pPr>
      <w:r>
        <w:rPr>
          <w:rFonts w:ascii="Arial" w:hAnsi="Arial" w:cs="Arial"/>
          <w:sz w:val="20"/>
          <w:szCs w:val="20"/>
        </w:rPr>
        <w:t xml:space="preserve">polygon-specific </w:t>
      </w:r>
      <w:r w:rsidR="00406954" w:rsidRPr="00CE082D">
        <w:rPr>
          <w:rFonts w:ascii="Arial" w:hAnsi="Arial" w:cs="Arial"/>
          <w:sz w:val="20"/>
          <w:szCs w:val="20"/>
        </w:rPr>
        <w:t>outcrop indicator (outcrop)</w:t>
      </w:r>
      <w:r w:rsidR="00D65EEF">
        <w:rPr>
          <w:rFonts w:ascii="Arial" w:hAnsi="Arial" w:cs="Arial"/>
          <w:sz w:val="20"/>
          <w:szCs w:val="20"/>
        </w:rPr>
        <w:t>,</w:t>
      </w:r>
    </w:p>
    <w:p w14:paraId="4163546D" w14:textId="764EA2BB" w:rsidR="004C07B6" w:rsidRPr="00CE082D" w:rsidRDefault="00CE082D" w:rsidP="00406954">
      <w:pPr>
        <w:pStyle w:val="ListParagraph"/>
        <w:numPr>
          <w:ilvl w:val="0"/>
          <w:numId w:val="9"/>
        </w:numPr>
        <w:jc w:val="both"/>
        <w:rPr>
          <w:rFonts w:ascii="Arial" w:hAnsi="Arial" w:cs="Arial"/>
          <w:sz w:val="20"/>
          <w:szCs w:val="20"/>
        </w:rPr>
      </w:pPr>
      <w:r>
        <w:rPr>
          <w:rFonts w:ascii="Arial" w:hAnsi="Arial" w:cs="Arial"/>
          <w:sz w:val="20"/>
          <w:szCs w:val="20"/>
        </w:rPr>
        <w:t>polygon-specific v</w:t>
      </w:r>
      <w:r w:rsidR="00406954" w:rsidRPr="00CE082D">
        <w:rPr>
          <w:rFonts w:ascii="Arial" w:hAnsi="Arial" w:cs="Arial"/>
          <w:sz w:val="20"/>
          <w:szCs w:val="20"/>
        </w:rPr>
        <w:t xml:space="preserve">ertical sequence </w:t>
      </w:r>
      <w:r w:rsidR="00351114" w:rsidRPr="00CE082D">
        <w:rPr>
          <w:rFonts w:ascii="Arial" w:hAnsi="Arial" w:cs="Arial"/>
          <w:sz w:val="20"/>
          <w:szCs w:val="20"/>
        </w:rPr>
        <w:t>order</w:t>
      </w:r>
      <w:r w:rsidR="00406954" w:rsidRPr="00CE082D">
        <w:rPr>
          <w:rFonts w:ascii="Arial" w:hAnsi="Arial" w:cs="Arial"/>
          <w:sz w:val="20"/>
          <w:szCs w:val="20"/>
        </w:rPr>
        <w:t xml:space="preserve">, </w:t>
      </w:r>
      <w:r w:rsidR="00351114" w:rsidRPr="00CE082D">
        <w:rPr>
          <w:rFonts w:ascii="Arial" w:hAnsi="Arial" w:cs="Arial"/>
          <w:sz w:val="20"/>
          <w:szCs w:val="20"/>
        </w:rPr>
        <w:t>from</w:t>
      </w:r>
      <w:r w:rsidR="004C07B6" w:rsidRPr="00CE082D">
        <w:rPr>
          <w:rFonts w:ascii="Arial" w:hAnsi="Arial" w:cs="Arial"/>
          <w:sz w:val="20"/>
          <w:szCs w:val="20"/>
        </w:rPr>
        <w:t xml:space="preserve"> younger to older </w:t>
      </w:r>
      <w:r w:rsidR="00351114" w:rsidRPr="00CE082D">
        <w:rPr>
          <w:rFonts w:ascii="Arial" w:hAnsi="Arial" w:cs="Arial"/>
          <w:sz w:val="20"/>
          <w:szCs w:val="20"/>
        </w:rPr>
        <w:t>unit</w:t>
      </w:r>
      <w:r w:rsidR="004C07B6" w:rsidRPr="00CE082D">
        <w:rPr>
          <w:rFonts w:ascii="Arial" w:hAnsi="Arial" w:cs="Arial"/>
          <w:sz w:val="20"/>
          <w:szCs w:val="20"/>
        </w:rPr>
        <w:t xml:space="preserve"> (</w:t>
      </w:r>
      <w:r w:rsidR="00406954" w:rsidRPr="00CE082D">
        <w:rPr>
          <w:rFonts w:ascii="Arial" w:hAnsi="Arial" w:cs="Arial"/>
          <w:sz w:val="20"/>
          <w:szCs w:val="20"/>
        </w:rPr>
        <w:t>o</w:t>
      </w:r>
      <w:r w:rsidR="004C07B6" w:rsidRPr="00CE082D">
        <w:rPr>
          <w:rFonts w:ascii="Arial" w:hAnsi="Arial" w:cs="Arial"/>
          <w:sz w:val="20"/>
          <w:szCs w:val="20"/>
        </w:rPr>
        <w:t>rder)</w:t>
      </w:r>
      <w:r w:rsidR="00D65EEF">
        <w:rPr>
          <w:rFonts w:ascii="Arial" w:hAnsi="Arial" w:cs="Arial"/>
          <w:sz w:val="20"/>
          <w:szCs w:val="20"/>
        </w:rPr>
        <w:t>,</w:t>
      </w:r>
    </w:p>
    <w:p w14:paraId="20BC5EDC" w14:textId="35D6B6E6" w:rsidR="00406954" w:rsidRDefault="00CE082D" w:rsidP="00406954">
      <w:pPr>
        <w:pStyle w:val="ListParagraph"/>
        <w:numPr>
          <w:ilvl w:val="0"/>
          <w:numId w:val="9"/>
        </w:numPr>
        <w:jc w:val="both"/>
        <w:rPr>
          <w:rFonts w:ascii="Arial" w:hAnsi="Arial" w:cs="Arial"/>
          <w:sz w:val="20"/>
          <w:szCs w:val="20"/>
        </w:rPr>
      </w:pPr>
      <w:r>
        <w:rPr>
          <w:rFonts w:ascii="Arial" w:hAnsi="Arial" w:cs="Arial"/>
          <w:sz w:val="20"/>
          <w:szCs w:val="20"/>
        </w:rPr>
        <w:t>unique polygon id (poly_ID)</w:t>
      </w:r>
      <w:r w:rsidR="00D65EEF">
        <w:rPr>
          <w:rFonts w:ascii="Arial" w:hAnsi="Arial" w:cs="Arial"/>
          <w:sz w:val="20"/>
          <w:szCs w:val="20"/>
        </w:rPr>
        <w:t>.</w:t>
      </w:r>
    </w:p>
    <w:bookmarkEnd w:id="1"/>
    <w:bookmarkEnd w:id="2"/>
    <w:p w14:paraId="3855D190" w14:textId="7CB103C4" w:rsidR="004C0662" w:rsidRPr="002D3B8F" w:rsidRDefault="004C0662" w:rsidP="004C0662">
      <w:pPr>
        <w:rPr>
          <w:rFonts w:ascii="Arial" w:hAnsi="Arial" w:cs="Arial"/>
          <w:b/>
          <w:bCs/>
          <w:sz w:val="20"/>
          <w:szCs w:val="20"/>
        </w:rPr>
      </w:pPr>
      <w:r w:rsidRPr="002D3B8F">
        <w:rPr>
          <w:rFonts w:ascii="Arial" w:hAnsi="Arial" w:cs="Arial"/>
          <w:b/>
          <w:bCs/>
          <w:sz w:val="20"/>
          <w:szCs w:val="20"/>
        </w:rPr>
        <w:t>R</w:t>
      </w:r>
      <w:r w:rsidR="0051712E" w:rsidRPr="002D3B8F">
        <w:rPr>
          <w:rFonts w:ascii="Arial" w:hAnsi="Arial" w:cs="Arial"/>
          <w:b/>
          <w:bCs/>
          <w:sz w:val="20"/>
          <w:szCs w:val="20"/>
        </w:rPr>
        <w:t>elease notes</w:t>
      </w:r>
    </w:p>
    <w:p w14:paraId="23C87563" w14:textId="77777777" w:rsidR="00783E8D" w:rsidRDefault="00FE0D7A" w:rsidP="00E323ED">
      <w:pPr>
        <w:spacing w:after="120" w:line="240" w:lineRule="auto"/>
        <w:rPr>
          <w:rFonts w:ascii="Arial" w:hAnsi="Arial" w:cs="Arial"/>
          <w:sz w:val="20"/>
          <w:szCs w:val="20"/>
        </w:rPr>
      </w:pPr>
      <w:bookmarkStart w:id="3" w:name="_Hlk118265912"/>
      <w:r>
        <w:rPr>
          <w:rFonts w:ascii="Arial" w:hAnsi="Arial" w:cs="Arial"/>
          <w:sz w:val="20"/>
          <w:szCs w:val="20"/>
        </w:rPr>
        <w:t xml:space="preserve">This dataset was initially prepared for the Ministry for the Environment </w:t>
      </w:r>
      <w:r w:rsidR="009F1B41">
        <w:rPr>
          <w:rFonts w:ascii="Arial" w:hAnsi="Arial" w:cs="Arial"/>
          <w:sz w:val="20"/>
          <w:szCs w:val="20"/>
        </w:rPr>
        <w:t xml:space="preserve">(White et al. 2019) </w:t>
      </w:r>
      <w:r>
        <w:rPr>
          <w:rFonts w:ascii="Arial" w:hAnsi="Arial" w:cs="Arial"/>
          <w:sz w:val="20"/>
          <w:szCs w:val="20"/>
        </w:rPr>
        <w:t xml:space="preserve">and is now developed by GNS as part of the Groundwater Strategic Science Investment Funds programme. </w:t>
      </w:r>
    </w:p>
    <w:p w14:paraId="14106A54" w14:textId="2ED07325" w:rsidR="0075045A" w:rsidRPr="009019DA" w:rsidRDefault="0075045A" w:rsidP="0075045A">
      <w:pPr>
        <w:spacing w:after="120" w:line="240" w:lineRule="auto"/>
        <w:rPr>
          <w:rFonts w:ascii="Arial" w:hAnsi="Arial" w:cs="Arial"/>
          <w:sz w:val="20"/>
          <w:szCs w:val="20"/>
        </w:rPr>
      </w:pPr>
      <w:bookmarkStart w:id="4" w:name="_Hlk118472273"/>
      <w:bookmarkEnd w:id="3"/>
      <w:r w:rsidRPr="009019DA">
        <w:rPr>
          <w:rFonts w:ascii="Arial" w:hAnsi="Arial" w:cs="Arial"/>
          <w:sz w:val="20"/>
          <w:szCs w:val="20"/>
        </w:rPr>
        <w:t>Fixes</w:t>
      </w:r>
      <w:r>
        <w:rPr>
          <w:rFonts w:ascii="Arial" w:hAnsi="Arial" w:cs="Arial"/>
          <w:sz w:val="20"/>
          <w:szCs w:val="20"/>
        </w:rPr>
        <w:t xml:space="preserve"> to the HUM dataset included</w:t>
      </w:r>
      <w:r w:rsidRPr="009019DA">
        <w:rPr>
          <w:rFonts w:ascii="Arial" w:hAnsi="Arial" w:cs="Arial"/>
          <w:sz w:val="20"/>
          <w:szCs w:val="20"/>
        </w:rPr>
        <w:t>:</w:t>
      </w:r>
    </w:p>
    <w:bookmarkEnd w:id="4"/>
    <w:p w14:paraId="02F310A3" w14:textId="7B05F120" w:rsidR="0075045A" w:rsidRDefault="00842E32" w:rsidP="0075045A">
      <w:pPr>
        <w:pStyle w:val="ListParagraph"/>
        <w:numPr>
          <w:ilvl w:val="0"/>
          <w:numId w:val="6"/>
        </w:numPr>
        <w:rPr>
          <w:rFonts w:ascii="Arial" w:hAnsi="Arial" w:cs="Arial"/>
          <w:sz w:val="20"/>
          <w:szCs w:val="20"/>
        </w:rPr>
      </w:pPr>
      <w:r>
        <w:rPr>
          <w:rFonts w:ascii="Arial" w:hAnsi="Arial" w:cs="Arial"/>
          <w:sz w:val="20"/>
          <w:szCs w:val="20"/>
        </w:rPr>
        <w:t>correction of attributes (HUM_ID, HUM_type) for polygons</w:t>
      </w:r>
      <w:r w:rsidR="00BD2845">
        <w:rPr>
          <w:rFonts w:ascii="Arial" w:hAnsi="Arial" w:cs="Arial"/>
          <w:sz w:val="20"/>
          <w:szCs w:val="20"/>
        </w:rPr>
        <w:t xml:space="preserve"> from the </w:t>
      </w:r>
      <w:r w:rsidR="00BD2845" w:rsidRPr="0044351C">
        <w:rPr>
          <w:rFonts w:ascii="Arial" w:hAnsi="Arial" w:cs="Arial"/>
          <w:sz w:val="20"/>
          <w:szCs w:val="20"/>
        </w:rPr>
        <w:t>“</w:t>
      </w:r>
      <w:r w:rsidR="0075045A" w:rsidRPr="0075045A">
        <w:rPr>
          <w:rFonts w:ascii="Arial" w:hAnsi="Arial" w:cs="Arial"/>
          <w:sz w:val="20"/>
          <w:szCs w:val="20"/>
        </w:rPr>
        <w:t>miocene_</w:t>
      </w:r>
      <w:r>
        <w:rPr>
          <w:rFonts w:ascii="Arial" w:hAnsi="Arial" w:cs="Arial"/>
          <w:sz w:val="20"/>
          <w:szCs w:val="20"/>
        </w:rPr>
        <w:t>S</w:t>
      </w:r>
      <w:r w:rsidR="0075045A" w:rsidRPr="0075045A">
        <w:rPr>
          <w:rFonts w:ascii="Arial" w:hAnsi="Arial" w:cs="Arial"/>
          <w:sz w:val="20"/>
          <w:szCs w:val="20"/>
        </w:rPr>
        <w:t>I_</w:t>
      </w:r>
      <w:r>
        <w:rPr>
          <w:rFonts w:ascii="Arial" w:hAnsi="Arial" w:cs="Arial"/>
          <w:sz w:val="20"/>
          <w:szCs w:val="20"/>
        </w:rPr>
        <w:t>volcanics</w:t>
      </w:r>
      <w:r w:rsidR="00BD2845" w:rsidRPr="0044351C">
        <w:rPr>
          <w:rFonts w:ascii="Arial" w:hAnsi="Arial" w:cs="Arial"/>
          <w:sz w:val="20"/>
          <w:szCs w:val="20"/>
        </w:rPr>
        <w:t xml:space="preserve">” </w:t>
      </w:r>
      <w:r>
        <w:rPr>
          <w:rFonts w:ascii="Arial" w:hAnsi="Arial" w:cs="Arial"/>
          <w:sz w:val="20"/>
          <w:szCs w:val="20"/>
        </w:rPr>
        <w:t>in the Dunedin area</w:t>
      </w:r>
      <w:r w:rsidR="0075045A">
        <w:rPr>
          <w:rFonts w:ascii="Arial" w:hAnsi="Arial" w:cs="Arial"/>
          <w:sz w:val="20"/>
          <w:szCs w:val="20"/>
        </w:rPr>
        <w:t>.</w:t>
      </w:r>
      <w:r w:rsidR="00BD2845" w:rsidRPr="0044351C">
        <w:rPr>
          <w:rFonts w:ascii="Arial" w:hAnsi="Arial" w:cs="Arial"/>
          <w:sz w:val="20"/>
          <w:szCs w:val="20"/>
        </w:rPr>
        <w:t xml:space="preserve"> </w:t>
      </w:r>
    </w:p>
    <w:p w14:paraId="53FEC0BD" w14:textId="39CD09C7" w:rsidR="00842E32" w:rsidRDefault="00842E32" w:rsidP="0075045A">
      <w:pPr>
        <w:pStyle w:val="ListParagraph"/>
        <w:numPr>
          <w:ilvl w:val="0"/>
          <w:numId w:val="6"/>
        </w:numPr>
        <w:rPr>
          <w:rFonts w:ascii="Arial" w:hAnsi="Arial" w:cs="Arial"/>
          <w:sz w:val="20"/>
          <w:szCs w:val="20"/>
        </w:rPr>
      </w:pPr>
      <w:r>
        <w:rPr>
          <w:rFonts w:ascii="Arial" w:hAnsi="Arial" w:cs="Arial"/>
          <w:sz w:val="20"/>
          <w:szCs w:val="20"/>
        </w:rPr>
        <w:t xml:space="preserve">removal of duplicated polygons </w:t>
      </w:r>
      <w:r>
        <w:rPr>
          <w:rFonts w:ascii="Arial" w:hAnsi="Arial" w:cs="Arial"/>
          <w:sz w:val="20"/>
          <w:szCs w:val="20"/>
        </w:rPr>
        <w:t>throughout th</w:t>
      </w:r>
      <w:r>
        <w:rPr>
          <w:rFonts w:ascii="Arial" w:hAnsi="Arial" w:cs="Arial"/>
          <w:sz w:val="20"/>
          <w:szCs w:val="20"/>
        </w:rPr>
        <w:t>e</w:t>
      </w:r>
      <w:r>
        <w:rPr>
          <w:rFonts w:ascii="Arial" w:hAnsi="Arial" w:cs="Arial"/>
          <w:sz w:val="20"/>
          <w:szCs w:val="20"/>
        </w:rPr>
        <w:t xml:space="preserve"> South Island</w:t>
      </w:r>
      <w:r>
        <w:rPr>
          <w:rFonts w:ascii="Arial" w:hAnsi="Arial" w:cs="Arial"/>
          <w:sz w:val="20"/>
          <w:szCs w:val="20"/>
        </w:rPr>
        <w:t>, where facies were described as “Not available yet” (Unit ID: 5,21,38 and 46).</w:t>
      </w:r>
    </w:p>
    <w:p w14:paraId="3D144A1B" w14:textId="671943E0" w:rsidR="00F42597" w:rsidRPr="0075045A" w:rsidRDefault="00842E32" w:rsidP="0075045A">
      <w:pPr>
        <w:pStyle w:val="ListParagraph"/>
        <w:numPr>
          <w:ilvl w:val="0"/>
          <w:numId w:val="6"/>
        </w:numPr>
        <w:rPr>
          <w:rFonts w:ascii="Arial" w:hAnsi="Arial" w:cs="Arial"/>
          <w:sz w:val="20"/>
          <w:szCs w:val="20"/>
        </w:rPr>
      </w:pPr>
      <w:r>
        <w:rPr>
          <w:rFonts w:ascii="Arial" w:hAnsi="Arial" w:cs="Arial"/>
          <w:sz w:val="20"/>
          <w:szCs w:val="20"/>
        </w:rPr>
        <w:t xml:space="preserve">update of sedimentary and volcanic model aquifer types </w:t>
      </w:r>
      <w:r w:rsidR="00F945F3">
        <w:rPr>
          <w:rFonts w:ascii="Arial" w:hAnsi="Arial" w:cs="Arial"/>
          <w:sz w:val="20"/>
          <w:szCs w:val="20"/>
        </w:rPr>
        <w:t>r</w:t>
      </w:r>
      <w:r w:rsidR="0075045A" w:rsidRPr="0075045A">
        <w:rPr>
          <w:rFonts w:ascii="Arial" w:hAnsi="Arial" w:cs="Arial"/>
          <w:sz w:val="20"/>
          <w:szCs w:val="20"/>
        </w:rPr>
        <w:t xml:space="preserve">e-attribution </w:t>
      </w:r>
      <w:r>
        <w:rPr>
          <w:rFonts w:ascii="Arial" w:hAnsi="Arial" w:cs="Arial"/>
          <w:sz w:val="20"/>
          <w:szCs w:val="20"/>
        </w:rPr>
        <w:t>following the removal of duplicated polygon</w:t>
      </w:r>
      <w:r w:rsidR="008F6067">
        <w:rPr>
          <w:rFonts w:ascii="Arial" w:hAnsi="Arial" w:cs="Arial"/>
          <w:sz w:val="20"/>
          <w:szCs w:val="20"/>
        </w:rPr>
        <w:t>s</w:t>
      </w:r>
      <w:r>
        <w:rPr>
          <w:rFonts w:ascii="Arial" w:hAnsi="Arial" w:cs="Arial"/>
          <w:sz w:val="20"/>
          <w:szCs w:val="20"/>
        </w:rPr>
        <w:t xml:space="preserve"> </w:t>
      </w:r>
      <w:r w:rsidR="008F6067">
        <w:rPr>
          <w:rFonts w:ascii="Arial" w:hAnsi="Arial" w:cs="Arial"/>
          <w:sz w:val="20"/>
          <w:szCs w:val="20"/>
        </w:rPr>
        <w:t>in the Mokihinui and Karamea areas</w:t>
      </w:r>
      <w:r w:rsidR="008F6067">
        <w:rPr>
          <w:rFonts w:ascii="Arial" w:hAnsi="Arial" w:cs="Arial"/>
          <w:sz w:val="20"/>
          <w:szCs w:val="20"/>
        </w:rPr>
        <w:t xml:space="preserve"> as part of the </w:t>
      </w:r>
      <w:r w:rsidR="008F6067">
        <w:rPr>
          <w:rFonts w:ascii="Arial" w:hAnsi="Arial" w:cs="Arial"/>
          <w:sz w:val="20"/>
          <w:szCs w:val="20"/>
        </w:rPr>
        <w:t>20250131 release</w:t>
      </w:r>
      <w:r w:rsidR="008F6067">
        <w:rPr>
          <w:rFonts w:ascii="Arial" w:hAnsi="Arial" w:cs="Arial"/>
          <w:sz w:val="20"/>
          <w:szCs w:val="20"/>
        </w:rPr>
        <w:t xml:space="preserve"> of the Hydrogeological System polygon dataset</w:t>
      </w:r>
      <w:r w:rsidR="0075045A" w:rsidRPr="0075045A">
        <w:rPr>
          <w:rFonts w:ascii="Arial" w:hAnsi="Arial" w:cs="Arial"/>
          <w:sz w:val="20"/>
          <w:szCs w:val="20"/>
        </w:rPr>
        <w:t>.</w:t>
      </w:r>
    </w:p>
    <w:p w14:paraId="5B258802" w14:textId="77777777" w:rsidR="004C0662" w:rsidRPr="002D3B8F" w:rsidRDefault="004C0662" w:rsidP="0051712E">
      <w:pPr>
        <w:rPr>
          <w:rFonts w:ascii="Arial" w:hAnsi="Arial" w:cs="Arial"/>
          <w:b/>
          <w:bCs/>
          <w:sz w:val="20"/>
          <w:szCs w:val="20"/>
        </w:rPr>
      </w:pPr>
      <w:bookmarkStart w:id="5" w:name="_Toc5723443"/>
      <w:bookmarkStart w:id="6" w:name="_Toc11656475"/>
      <w:r w:rsidRPr="002D3B8F">
        <w:rPr>
          <w:rFonts w:ascii="Arial" w:hAnsi="Arial" w:cs="Arial"/>
          <w:b/>
          <w:bCs/>
          <w:sz w:val="20"/>
          <w:szCs w:val="20"/>
        </w:rPr>
        <w:t>License</w:t>
      </w:r>
      <w:bookmarkEnd w:id="5"/>
      <w:bookmarkEnd w:id="6"/>
    </w:p>
    <w:p w14:paraId="60A3D0EA" w14:textId="4777F362" w:rsidR="0051712E" w:rsidRPr="002D3B8F" w:rsidRDefault="004C0662" w:rsidP="002D7229">
      <w:pPr>
        <w:spacing w:after="120" w:line="240" w:lineRule="auto"/>
        <w:jc w:val="both"/>
        <w:rPr>
          <w:rFonts w:ascii="Arial" w:hAnsi="Arial" w:cs="Arial"/>
          <w:sz w:val="20"/>
          <w:szCs w:val="20"/>
        </w:rPr>
      </w:pPr>
      <w:r w:rsidRPr="002D3B8F">
        <w:rPr>
          <w:rFonts w:ascii="Arial" w:hAnsi="Arial" w:cs="Arial"/>
          <w:sz w:val="20"/>
          <w:szCs w:val="20"/>
        </w:rPr>
        <w:t xml:space="preserve">Use of the datasets is licensed under a Creative Commons Attribution 4.0 International (CC BY 4.0) Licence. You are free to share and adapt the datasets for any purpose provided you give appropriate </w:t>
      </w:r>
      <w:r w:rsidRPr="002D3B8F">
        <w:rPr>
          <w:rFonts w:ascii="Arial" w:hAnsi="Arial" w:cs="Arial"/>
          <w:sz w:val="20"/>
          <w:szCs w:val="20"/>
        </w:rPr>
        <w:lastRenderedPageBreak/>
        <w:t xml:space="preserve">credit, a link to the license, and note the changes that were made. For more details visit </w:t>
      </w:r>
      <w:hyperlink r:id="rId5" w:tgtFrame="_self" w:history="1">
        <w:r w:rsidRPr="002D3B8F">
          <w:rPr>
            <w:rFonts w:ascii="Arial" w:hAnsi="Arial" w:cs="Arial"/>
            <w:sz w:val="20"/>
            <w:szCs w:val="20"/>
          </w:rPr>
          <w:t>http://creativecommons.org/licenses/by/4.0/</w:t>
        </w:r>
      </w:hyperlink>
      <w:r w:rsidRPr="002D3B8F">
        <w:rPr>
          <w:rFonts w:ascii="Arial" w:hAnsi="Arial" w:cs="Arial"/>
          <w:sz w:val="20"/>
          <w:szCs w:val="20"/>
        </w:rPr>
        <w:t xml:space="preserve">. Where the datasets are used in a figure, GNS Science requests attribution in the following manner: © GNS </w:t>
      </w:r>
      <w:r w:rsidRPr="00BC252F">
        <w:rPr>
          <w:rFonts w:ascii="Arial" w:hAnsi="Arial" w:cs="Arial"/>
          <w:sz w:val="20"/>
          <w:szCs w:val="20"/>
        </w:rPr>
        <w:t>Science 20</w:t>
      </w:r>
      <w:r w:rsidR="0051712E" w:rsidRPr="00BC252F">
        <w:rPr>
          <w:rFonts w:ascii="Arial" w:hAnsi="Arial" w:cs="Arial"/>
          <w:sz w:val="20"/>
          <w:szCs w:val="20"/>
        </w:rPr>
        <w:t>2</w:t>
      </w:r>
      <w:r w:rsidR="00842E32">
        <w:rPr>
          <w:rFonts w:ascii="Arial" w:hAnsi="Arial" w:cs="Arial"/>
          <w:sz w:val="20"/>
          <w:szCs w:val="20"/>
        </w:rPr>
        <w:t>5</w:t>
      </w:r>
      <w:r w:rsidRPr="00BC252F">
        <w:rPr>
          <w:rFonts w:ascii="Arial" w:hAnsi="Arial" w:cs="Arial"/>
          <w:sz w:val="20"/>
          <w:szCs w:val="20"/>
        </w:rPr>
        <w:t>.</w:t>
      </w:r>
      <w:bookmarkStart w:id="7" w:name="_Toc5723442"/>
      <w:bookmarkStart w:id="8" w:name="_Toc11656474"/>
    </w:p>
    <w:p w14:paraId="40C55DE9" w14:textId="60741704" w:rsidR="0051712E" w:rsidRPr="002D3B8F" w:rsidRDefault="0051712E" w:rsidP="0051712E">
      <w:pPr>
        <w:rPr>
          <w:rFonts w:ascii="Arial" w:hAnsi="Arial" w:cs="Arial"/>
          <w:b/>
          <w:bCs/>
          <w:sz w:val="20"/>
          <w:szCs w:val="20"/>
        </w:rPr>
      </w:pPr>
      <w:r w:rsidRPr="002D3B8F">
        <w:rPr>
          <w:rFonts w:ascii="Arial" w:hAnsi="Arial" w:cs="Arial"/>
          <w:b/>
          <w:bCs/>
          <w:sz w:val="20"/>
          <w:szCs w:val="20"/>
        </w:rPr>
        <w:t>Disclaimer</w:t>
      </w:r>
      <w:bookmarkEnd w:id="7"/>
      <w:bookmarkEnd w:id="8"/>
    </w:p>
    <w:p w14:paraId="6EB09712" w14:textId="1BBDFA7A" w:rsidR="0051712E" w:rsidRPr="002D3B8F" w:rsidRDefault="0051712E" w:rsidP="002D7229">
      <w:pPr>
        <w:spacing w:after="120" w:line="240" w:lineRule="auto"/>
        <w:jc w:val="both"/>
        <w:rPr>
          <w:rFonts w:ascii="Arial" w:hAnsi="Arial" w:cs="Arial"/>
          <w:sz w:val="20"/>
          <w:szCs w:val="20"/>
        </w:rPr>
      </w:pPr>
      <w:r w:rsidRPr="002D3B8F">
        <w:rPr>
          <w:rFonts w:ascii="Arial" w:hAnsi="Arial" w:cs="Arial"/>
          <w:sz w:val="20"/>
          <w:szCs w:val="20"/>
        </w:rPr>
        <w:t>In compiling the datasets, inferences and assumptions have been made about hydrogeological systems at a regional scale (i.e., 1:250,000). At the time of publishing, no validations using actual observations have been made (e.g., yield, aquifer properties, etc.), and the datasets do not include any information regarding the sustainability of a hydrogeological system (e.g., recharge/discharge areas, water balance, etc.). Experience and an appreciation of the limitations of the datasets is needed by persons using the datasets as an element in their decision making over access to and use of groundwater resources. In addition, the datasets should be treated with caution for detailed studies at map scales of less than 1:250,000.</w:t>
      </w:r>
    </w:p>
    <w:p w14:paraId="07A08F2B" w14:textId="77777777" w:rsidR="0051712E" w:rsidRPr="002D3B8F" w:rsidRDefault="0051712E" w:rsidP="002D7229">
      <w:pPr>
        <w:jc w:val="both"/>
        <w:rPr>
          <w:rFonts w:ascii="Arial" w:hAnsi="Arial" w:cs="Arial"/>
          <w:sz w:val="20"/>
          <w:szCs w:val="20"/>
        </w:rPr>
      </w:pPr>
      <w:r w:rsidRPr="002D3B8F">
        <w:rPr>
          <w:rFonts w:ascii="Arial" w:hAnsi="Arial" w:cs="Arial"/>
          <w:sz w:val="20"/>
          <w:szCs w:val="20"/>
        </w:rPr>
        <w:t xml:space="preserve">The data user acknowledges that neither GNS Science nor any of its representatives has made or makes any representation or warranty, expressed or implied, as to the accuracy or completeness of the datasets or the accompanying report. GNS Science accepts no responsibility for any use or reliance on the datasets and shall not be liable to any person, on any ground, for any loss, damage or expense arising from such use or reliance.  </w:t>
      </w:r>
    </w:p>
    <w:p w14:paraId="35A12164" w14:textId="77777777" w:rsidR="0051712E" w:rsidRPr="002D3B8F" w:rsidRDefault="0051712E" w:rsidP="002D7229">
      <w:pPr>
        <w:jc w:val="both"/>
        <w:rPr>
          <w:rFonts w:ascii="Arial" w:hAnsi="Arial" w:cs="Arial"/>
          <w:sz w:val="20"/>
          <w:szCs w:val="20"/>
        </w:rPr>
      </w:pPr>
      <w:r w:rsidRPr="002D3B8F">
        <w:rPr>
          <w:rFonts w:ascii="Arial" w:hAnsi="Arial" w:cs="Arial"/>
          <w:sz w:val="20"/>
          <w:szCs w:val="20"/>
        </w:rPr>
        <w:t>If the data user makes the datasets available to any third party, the data user indemnifies and holds harmless GNS Science for any event arising from such use or supply.</w:t>
      </w:r>
    </w:p>
    <w:p w14:paraId="018AB8B9" w14:textId="77777777" w:rsidR="0051712E" w:rsidRPr="002D3B8F" w:rsidRDefault="0051712E" w:rsidP="002D7229">
      <w:pPr>
        <w:jc w:val="both"/>
        <w:rPr>
          <w:rFonts w:ascii="Arial" w:hAnsi="Arial" w:cs="Arial"/>
          <w:sz w:val="20"/>
          <w:szCs w:val="20"/>
        </w:rPr>
      </w:pPr>
      <w:r w:rsidRPr="002D3B8F">
        <w:rPr>
          <w:rFonts w:ascii="Arial" w:hAnsi="Arial" w:cs="Arial"/>
          <w:sz w:val="20"/>
          <w:szCs w:val="20"/>
        </w:rPr>
        <w:t xml:space="preserve">Any party using or relying on the datasets will be regarded as having accepted the terms of this disclaimer. </w:t>
      </w:r>
    </w:p>
    <w:p w14:paraId="19396FE0"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Update frequency</w:t>
      </w:r>
    </w:p>
    <w:p w14:paraId="4B859F31" w14:textId="28862CBB" w:rsidR="0051712E" w:rsidRPr="002D3B8F" w:rsidRDefault="0051712E" w:rsidP="002D7229">
      <w:pPr>
        <w:spacing w:after="120" w:line="240" w:lineRule="auto"/>
        <w:jc w:val="both"/>
        <w:rPr>
          <w:rFonts w:ascii="Arial" w:hAnsi="Arial" w:cs="Arial"/>
          <w:sz w:val="20"/>
          <w:szCs w:val="20"/>
        </w:rPr>
      </w:pPr>
      <w:r w:rsidRPr="002D3B8F">
        <w:rPr>
          <w:rFonts w:ascii="Arial" w:hAnsi="Arial" w:cs="Arial"/>
          <w:sz w:val="20"/>
          <w:szCs w:val="20"/>
        </w:rPr>
        <w:t xml:space="preserve">There is currently no scheduled update for this dataset. it is therefore recommended to include the </w:t>
      </w:r>
      <w:r w:rsidR="00F0346F">
        <w:rPr>
          <w:rFonts w:ascii="Arial" w:hAnsi="Arial" w:cs="Arial"/>
          <w:sz w:val="20"/>
          <w:szCs w:val="20"/>
        </w:rPr>
        <w:t xml:space="preserve">current </w:t>
      </w:r>
      <w:r w:rsidRPr="002D3B8F">
        <w:rPr>
          <w:rFonts w:ascii="Arial" w:hAnsi="Arial" w:cs="Arial"/>
          <w:sz w:val="20"/>
          <w:szCs w:val="20"/>
        </w:rPr>
        <w:t>release date</w:t>
      </w:r>
      <w:r w:rsidR="00F0346F">
        <w:rPr>
          <w:rFonts w:ascii="Arial" w:hAnsi="Arial" w:cs="Arial"/>
          <w:sz w:val="20"/>
          <w:szCs w:val="20"/>
        </w:rPr>
        <w:t xml:space="preserve"> </w:t>
      </w:r>
      <w:r w:rsidRPr="002D3B8F">
        <w:rPr>
          <w:rFonts w:ascii="Arial" w:hAnsi="Arial" w:cs="Arial"/>
          <w:sz w:val="20"/>
          <w:szCs w:val="20"/>
        </w:rPr>
        <w:t>when using and referencing the dataset.</w:t>
      </w:r>
    </w:p>
    <w:p w14:paraId="076F4254"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Resource constraints</w:t>
      </w:r>
    </w:p>
    <w:p w14:paraId="525036BA" w14:textId="21F633EB" w:rsidR="0051712E" w:rsidRPr="002D3B8F" w:rsidRDefault="0051712E" w:rsidP="002D7229">
      <w:pPr>
        <w:spacing w:after="120" w:line="240" w:lineRule="auto"/>
        <w:rPr>
          <w:rFonts w:ascii="Arial" w:hAnsi="Arial" w:cs="Arial"/>
          <w:sz w:val="20"/>
          <w:szCs w:val="20"/>
        </w:rPr>
      </w:pPr>
      <w:r w:rsidRPr="002D3B8F">
        <w:rPr>
          <w:rFonts w:ascii="Arial" w:hAnsi="Arial" w:cs="Arial"/>
          <w:sz w:val="20"/>
          <w:szCs w:val="20"/>
        </w:rPr>
        <w:t>This dataset is provided under Creative Commons C BY 4.0.0 http://creativecommons.org/licenses/by/4.0/.</w:t>
      </w:r>
    </w:p>
    <w:p w14:paraId="6A506FD5" w14:textId="74D91DEA" w:rsidR="0051712E" w:rsidRPr="002D3B8F" w:rsidRDefault="0051712E" w:rsidP="002D7229">
      <w:pPr>
        <w:spacing w:after="120" w:line="240" w:lineRule="auto"/>
        <w:jc w:val="both"/>
        <w:rPr>
          <w:rFonts w:ascii="Arial" w:hAnsi="Arial" w:cs="Arial"/>
          <w:sz w:val="20"/>
          <w:szCs w:val="20"/>
        </w:rPr>
      </w:pPr>
      <w:r w:rsidRPr="002D3B8F">
        <w:rPr>
          <w:rFonts w:ascii="Arial" w:hAnsi="Arial" w:cs="Arial"/>
          <w:sz w:val="20"/>
          <w:szCs w:val="20"/>
        </w:rPr>
        <w:t xml:space="preserve">Where the dataset is used in a figure, </w:t>
      </w:r>
      <w:r w:rsidR="00B10210">
        <w:rPr>
          <w:rFonts w:ascii="Arial" w:hAnsi="Arial" w:cs="Arial"/>
          <w:sz w:val="20"/>
          <w:szCs w:val="20"/>
        </w:rPr>
        <w:t>it requires</w:t>
      </w:r>
      <w:r w:rsidRPr="002D3B8F">
        <w:rPr>
          <w:rFonts w:ascii="Arial" w:hAnsi="Arial" w:cs="Arial"/>
          <w:sz w:val="20"/>
          <w:szCs w:val="20"/>
        </w:rPr>
        <w:t xml:space="preserve"> attribution in the following manner: © GNS </w:t>
      </w:r>
      <w:r w:rsidRPr="00BC252F">
        <w:rPr>
          <w:rFonts w:ascii="Arial" w:hAnsi="Arial" w:cs="Arial"/>
          <w:sz w:val="20"/>
          <w:szCs w:val="20"/>
        </w:rPr>
        <w:t>Science 202</w:t>
      </w:r>
      <w:r w:rsidR="00842E32">
        <w:rPr>
          <w:rFonts w:ascii="Arial" w:hAnsi="Arial" w:cs="Arial"/>
          <w:sz w:val="20"/>
          <w:szCs w:val="20"/>
        </w:rPr>
        <w:t>5</w:t>
      </w:r>
      <w:r w:rsidRPr="00BC252F">
        <w:rPr>
          <w:rFonts w:ascii="Arial" w:hAnsi="Arial" w:cs="Arial"/>
          <w:sz w:val="20"/>
          <w:szCs w:val="20"/>
        </w:rPr>
        <w:t>.</w:t>
      </w:r>
      <w:r w:rsidRPr="002D3B8F">
        <w:rPr>
          <w:rFonts w:ascii="Arial" w:hAnsi="Arial" w:cs="Arial"/>
          <w:sz w:val="20"/>
          <w:szCs w:val="20"/>
        </w:rPr>
        <w:t xml:space="preserve"> Where reference to the dataset is to be included in a reference list please cite </w:t>
      </w:r>
      <w:r w:rsidR="004C07B6">
        <w:rPr>
          <w:rFonts w:ascii="Arial" w:hAnsi="Arial" w:cs="Arial"/>
          <w:sz w:val="20"/>
          <w:szCs w:val="20"/>
        </w:rPr>
        <w:t>White</w:t>
      </w:r>
      <w:r w:rsidRPr="002D3B8F">
        <w:rPr>
          <w:rFonts w:ascii="Arial" w:hAnsi="Arial" w:cs="Arial"/>
          <w:sz w:val="20"/>
          <w:szCs w:val="20"/>
        </w:rPr>
        <w:t xml:space="preserve"> et al., 2019 </w:t>
      </w:r>
      <w:r w:rsidR="004B70F5">
        <w:rPr>
          <w:rFonts w:ascii="Arial" w:hAnsi="Arial" w:cs="Arial"/>
          <w:sz w:val="20"/>
          <w:szCs w:val="20"/>
        </w:rPr>
        <w:t>(Revised 202</w:t>
      </w:r>
      <w:r w:rsidR="00842E32">
        <w:rPr>
          <w:rFonts w:ascii="Arial" w:hAnsi="Arial" w:cs="Arial"/>
          <w:sz w:val="20"/>
          <w:szCs w:val="20"/>
        </w:rPr>
        <w:t>5</w:t>
      </w:r>
      <w:r w:rsidR="004B70F5">
        <w:rPr>
          <w:rFonts w:ascii="Arial" w:hAnsi="Arial" w:cs="Arial"/>
          <w:sz w:val="20"/>
          <w:szCs w:val="20"/>
        </w:rPr>
        <w:t xml:space="preserve">) </w:t>
      </w:r>
      <w:r w:rsidRPr="002D3B8F">
        <w:rPr>
          <w:rFonts w:ascii="Arial" w:hAnsi="Arial" w:cs="Arial"/>
          <w:sz w:val="20"/>
          <w:szCs w:val="20"/>
        </w:rPr>
        <w:t>(see Credits for full reference).</w:t>
      </w:r>
    </w:p>
    <w:p w14:paraId="51738BAC"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Spatial resolution</w:t>
      </w:r>
    </w:p>
    <w:p w14:paraId="58C21AC0" w14:textId="1385A0A9" w:rsidR="0051712E" w:rsidRPr="002D3B8F" w:rsidRDefault="0051712E" w:rsidP="002D7229">
      <w:pPr>
        <w:spacing w:after="120" w:line="240" w:lineRule="auto"/>
        <w:jc w:val="both"/>
        <w:rPr>
          <w:rFonts w:ascii="Arial" w:hAnsi="Arial" w:cs="Arial"/>
          <w:sz w:val="20"/>
          <w:szCs w:val="20"/>
        </w:rPr>
      </w:pPr>
      <w:r w:rsidRPr="002D3B8F">
        <w:rPr>
          <w:rFonts w:ascii="Arial" w:hAnsi="Arial" w:cs="Arial"/>
          <w:sz w:val="20"/>
          <w:szCs w:val="20"/>
        </w:rPr>
        <w:t>This dataset is provided with an indicative resolution of 1:250,000-scale. Details on uncertain</w:t>
      </w:r>
      <w:r w:rsidR="00600B05">
        <w:rPr>
          <w:rFonts w:ascii="Arial" w:hAnsi="Arial" w:cs="Arial"/>
          <w:sz w:val="20"/>
          <w:szCs w:val="20"/>
        </w:rPr>
        <w:t>t</w:t>
      </w:r>
      <w:r w:rsidRPr="002D3B8F">
        <w:rPr>
          <w:rFonts w:ascii="Arial" w:hAnsi="Arial" w:cs="Arial"/>
          <w:sz w:val="20"/>
          <w:szCs w:val="20"/>
        </w:rPr>
        <w:t>y pertaining to scale, resolution and capture of the input dataset is detailed in Moreau et al., 2019 (see Credits for full reference).</w:t>
      </w:r>
    </w:p>
    <w:p w14:paraId="0E8530B7"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Spatial Extent</w:t>
      </w:r>
    </w:p>
    <w:p w14:paraId="26AA93DB" w14:textId="7B84E14C" w:rsidR="0051712E" w:rsidRPr="002D3B8F" w:rsidRDefault="0051712E" w:rsidP="00E323ED">
      <w:pPr>
        <w:spacing w:after="120" w:line="240" w:lineRule="auto"/>
        <w:rPr>
          <w:rFonts w:ascii="Arial" w:hAnsi="Arial" w:cs="Arial"/>
          <w:sz w:val="20"/>
          <w:szCs w:val="20"/>
        </w:rPr>
      </w:pPr>
      <w:r w:rsidRPr="002D3B8F">
        <w:rPr>
          <w:rFonts w:ascii="Arial" w:hAnsi="Arial" w:cs="Arial"/>
          <w:sz w:val="20"/>
          <w:szCs w:val="20"/>
        </w:rPr>
        <w:t>New Zealand, bounding box 'NZ': ('New Zealand', (166.509144322, -46.641235447, 178.517093541, -34.4506617165))</w:t>
      </w:r>
    </w:p>
    <w:p w14:paraId="351FF78D"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Temporal Extent</w:t>
      </w:r>
    </w:p>
    <w:p w14:paraId="2668BE02" w14:textId="03F276EB" w:rsidR="0051712E" w:rsidRPr="002D3B8F" w:rsidRDefault="0051712E" w:rsidP="00E323ED">
      <w:pPr>
        <w:spacing w:after="120" w:line="240" w:lineRule="auto"/>
        <w:rPr>
          <w:rFonts w:ascii="Arial" w:hAnsi="Arial" w:cs="Arial"/>
          <w:sz w:val="20"/>
          <w:szCs w:val="20"/>
        </w:rPr>
      </w:pPr>
      <w:r w:rsidRPr="002D3B8F">
        <w:rPr>
          <w:rFonts w:ascii="Arial" w:hAnsi="Arial" w:cs="Arial"/>
          <w:sz w:val="20"/>
          <w:szCs w:val="20"/>
        </w:rPr>
        <w:t>Not applicable</w:t>
      </w:r>
    </w:p>
    <w:p w14:paraId="1B8D27D9" w14:textId="77777777" w:rsidR="0051712E" w:rsidRPr="002D3B8F" w:rsidRDefault="0051712E" w:rsidP="0051712E">
      <w:pPr>
        <w:rPr>
          <w:rFonts w:ascii="Arial" w:hAnsi="Arial" w:cs="Arial"/>
          <w:b/>
          <w:bCs/>
          <w:sz w:val="20"/>
          <w:szCs w:val="20"/>
        </w:rPr>
      </w:pPr>
      <w:r w:rsidRPr="002D3B8F">
        <w:rPr>
          <w:rFonts w:ascii="Arial" w:hAnsi="Arial" w:cs="Arial"/>
          <w:b/>
          <w:bCs/>
          <w:sz w:val="20"/>
          <w:szCs w:val="20"/>
        </w:rPr>
        <w:t>Credits</w:t>
      </w:r>
    </w:p>
    <w:p w14:paraId="25AA8EE0" w14:textId="49B85DF3" w:rsidR="0051712E" w:rsidRDefault="004C07B6" w:rsidP="0051712E">
      <w:pPr>
        <w:rPr>
          <w:rFonts w:ascii="Arial" w:hAnsi="Arial" w:cs="Arial"/>
          <w:sz w:val="20"/>
          <w:szCs w:val="20"/>
        </w:rPr>
      </w:pPr>
      <w:bookmarkStart w:id="9" w:name="_Hlk118802134"/>
      <w:r w:rsidRPr="004C07B6">
        <w:rPr>
          <w:rFonts w:ascii="Arial" w:hAnsi="Arial" w:cs="Arial"/>
          <w:sz w:val="20"/>
          <w:szCs w:val="20"/>
        </w:rPr>
        <w:t>White PA, Moreau M, Mourot F, Rawlinson ZJ. 2019</w:t>
      </w:r>
      <w:r w:rsidR="004B70F5">
        <w:rPr>
          <w:rFonts w:ascii="Arial" w:hAnsi="Arial" w:cs="Arial"/>
          <w:sz w:val="20"/>
          <w:szCs w:val="20"/>
        </w:rPr>
        <w:t xml:space="preserve"> (Revised 202</w:t>
      </w:r>
      <w:r w:rsidR="00842E32">
        <w:rPr>
          <w:rFonts w:ascii="Arial" w:hAnsi="Arial" w:cs="Arial"/>
          <w:sz w:val="20"/>
          <w:szCs w:val="20"/>
        </w:rPr>
        <w:t>5</w:t>
      </w:r>
      <w:r w:rsidR="004B70F5">
        <w:rPr>
          <w:rFonts w:ascii="Arial" w:hAnsi="Arial" w:cs="Arial"/>
          <w:sz w:val="20"/>
          <w:szCs w:val="20"/>
        </w:rPr>
        <w:t>)</w:t>
      </w:r>
      <w:r w:rsidRPr="004C07B6">
        <w:rPr>
          <w:rFonts w:ascii="Arial" w:hAnsi="Arial" w:cs="Arial"/>
          <w:sz w:val="20"/>
          <w:szCs w:val="20"/>
        </w:rPr>
        <w:t xml:space="preserve">. New Zealand groundwater atlas:hydrogeological-unit map of New Zealand. Lower Hutt (NZ): GNS Science. </w:t>
      </w:r>
      <w:r>
        <w:rPr>
          <w:rFonts w:ascii="Arial" w:hAnsi="Arial" w:cs="Arial"/>
          <w:sz w:val="20"/>
          <w:szCs w:val="20"/>
        </w:rPr>
        <w:t>[</w:t>
      </w:r>
      <w:r w:rsidRPr="004C07B6">
        <w:rPr>
          <w:rFonts w:ascii="Arial" w:hAnsi="Arial" w:cs="Arial"/>
          <w:sz w:val="20"/>
          <w:szCs w:val="20"/>
        </w:rPr>
        <w:t>86</w:t>
      </w:r>
      <w:r>
        <w:rPr>
          <w:rFonts w:ascii="Arial" w:hAnsi="Arial" w:cs="Arial"/>
          <w:sz w:val="20"/>
          <w:szCs w:val="20"/>
        </w:rPr>
        <w:t>]</w:t>
      </w:r>
      <w:r w:rsidRPr="004C07B6">
        <w:rPr>
          <w:rFonts w:ascii="Arial" w:hAnsi="Arial" w:cs="Arial"/>
          <w:sz w:val="20"/>
          <w:szCs w:val="20"/>
        </w:rPr>
        <w:t xml:space="preserve"> p. Consultancy Report 2019/144</w:t>
      </w:r>
      <w:r>
        <w:rPr>
          <w:rFonts w:ascii="Arial" w:hAnsi="Arial" w:cs="Arial"/>
          <w:sz w:val="20"/>
          <w:szCs w:val="20"/>
        </w:rPr>
        <w:t>.</w:t>
      </w:r>
    </w:p>
    <w:bookmarkEnd w:id="9"/>
    <w:p w14:paraId="2A8BFE44" w14:textId="77777777" w:rsidR="00704E62" w:rsidRPr="00D8615F" w:rsidRDefault="00704E62" w:rsidP="00704E62">
      <w:pPr>
        <w:rPr>
          <w:rFonts w:ascii="Arial" w:hAnsi="Arial"/>
        </w:rPr>
      </w:pPr>
      <w:r w:rsidRPr="00D8615F">
        <w:rPr>
          <w:rFonts w:ascii="Arial" w:hAnsi="Arial"/>
          <w:b/>
          <w:bCs/>
        </w:rPr>
        <w:t>References</w:t>
      </w:r>
    </w:p>
    <w:p w14:paraId="3ABFA38D" w14:textId="77777777" w:rsidR="00712FCF" w:rsidRPr="002D68AE" w:rsidRDefault="00712FCF" w:rsidP="00712FCF">
      <w:pPr>
        <w:pStyle w:val="Reference"/>
      </w:pPr>
      <w:r w:rsidRPr="002D68AE">
        <w:lastRenderedPageBreak/>
        <w:t>Bishop DG, Forsyth PJ, Turnbull IM</w:t>
      </w:r>
      <w:r>
        <w:t>, compilers</w:t>
      </w:r>
      <w:r w:rsidRPr="002D68AE">
        <w:t>. 1996. Dunedin [map]. Lower Hutt (NZ): Institute of Geological &amp; Nuclear Sciences. 1 map + 52 p., scale 1:250</w:t>
      </w:r>
      <w:r>
        <w:t>,</w:t>
      </w:r>
      <w:r w:rsidRPr="002D68AE">
        <w:t>000. (Institute of Geological &amp; Nuclear Sciences 1:250</w:t>
      </w:r>
      <w:r>
        <w:t>,</w:t>
      </w:r>
      <w:r w:rsidRPr="002D68AE">
        <w:t>000 geological map</w:t>
      </w:r>
      <w:r>
        <w:t>; 21)</w:t>
      </w:r>
      <w:r w:rsidRPr="002D68AE">
        <w:t>.</w:t>
      </w:r>
    </w:p>
    <w:p w14:paraId="4203B2CC" w14:textId="77777777" w:rsidR="00383E3E" w:rsidRPr="002D68AE" w:rsidRDefault="00383E3E" w:rsidP="00383E3E">
      <w:pPr>
        <w:pStyle w:val="Reference"/>
      </w:pPr>
      <w:r w:rsidRPr="002D68AE">
        <w:t>Begg JG, Johnston MR</w:t>
      </w:r>
      <w:r>
        <w:t>, compilers</w:t>
      </w:r>
      <w:r w:rsidRPr="002D68AE">
        <w:t>. 2000. Wellington [map]. Lower Hutt (NZ): Institute of Geological &amp; Nuclear Sciences. 1 map + 1 book (64 p.), scale 1:250,000. (Institute of Geological &amp; Nuclear Sciences 1:250,000 geological map; 10).</w:t>
      </w:r>
    </w:p>
    <w:p w14:paraId="1A78F0E9" w14:textId="77777777" w:rsidR="00712FCF" w:rsidRPr="00286DF8" w:rsidRDefault="00712FCF" w:rsidP="00712FCF">
      <w:pPr>
        <w:pStyle w:val="Reference"/>
      </w:pPr>
      <w:r w:rsidRPr="00286DF8">
        <w:t>Cox SC, Barrell DJA, Suggate RP</w:t>
      </w:r>
      <w:r>
        <w:t>, compilers</w:t>
      </w:r>
      <w:r w:rsidRPr="00286DF8">
        <w:t>. 2007. Aoraki</w:t>
      </w:r>
      <w:r>
        <w:t xml:space="preserve"> [map]</w:t>
      </w:r>
      <w:r w:rsidRPr="00286DF8">
        <w:t>. Lower Hutt (NZ): GNS Science. 1</w:t>
      </w:r>
      <w:r>
        <w:t> </w:t>
      </w:r>
      <w:r w:rsidRPr="00286DF8">
        <w:t>map + 71 p., scale 1:250,000. (Institute of Geological &amp; Nuclear Sciences 1:250</w:t>
      </w:r>
      <w:r>
        <w:t>,</w:t>
      </w:r>
      <w:r w:rsidRPr="00286DF8">
        <w:t>000 geological map; 15).</w:t>
      </w:r>
    </w:p>
    <w:p w14:paraId="724E2235" w14:textId="77777777" w:rsidR="00712FCF" w:rsidRPr="00EC2302" w:rsidRDefault="00712FCF" w:rsidP="00712FCF">
      <w:pPr>
        <w:pStyle w:val="Reference"/>
      </w:pPr>
      <w:r w:rsidRPr="00EC2302">
        <w:t>Edbrooke SW, Brook FJ</w:t>
      </w:r>
      <w:r>
        <w:t>, compilers</w:t>
      </w:r>
      <w:r w:rsidRPr="00EC2302">
        <w:t>. 2009. Whangarei [map]. Lower Hutt (NZ): Institute of Geological &amp; Nuclear Sciences. 1 map + 68 p., scale 1:250,000. (Institute of Geological &amp; Nuclear Sciences 1:250 000 geological map</w:t>
      </w:r>
      <w:r>
        <w:t>; 2)</w:t>
      </w:r>
      <w:r w:rsidRPr="00EC2302">
        <w:t>.</w:t>
      </w:r>
    </w:p>
    <w:p w14:paraId="3A833FB1" w14:textId="77777777" w:rsidR="00712FCF" w:rsidRPr="006A237B" w:rsidRDefault="00712FCF" w:rsidP="00712FCF">
      <w:pPr>
        <w:pStyle w:val="Reference"/>
      </w:pPr>
      <w:r w:rsidRPr="006A237B">
        <w:t>Edbrooke SW</w:t>
      </w:r>
      <w:r>
        <w:t>, compiler</w:t>
      </w:r>
      <w:r w:rsidRPr="006A237B">
        <w:t>. 2001. Auckland [map]. Lower Hutt (NZ): Institute of Geological &amp; Nuclear Sciences. 1 map + 74 p., scale 1:250,000. (Institute of Geological &amp; Nuclear Sciences 1:250</w:t>
      </w:r>
      <w:r>
        <w:t>,</w:t>
      </w:r>
      <w:r w:rsidRPr="006A237B">
        <w:t>000 geological map; 3).</w:t>
      </w:r>
    </w:p>
    <w:p w14:paraId="582F4DA1" w14:textId="57569A39" w:rsidR="00712FCF" w:rsidRPr="00FD0673" w:rsidRDefault="00712FCF" w:rsidP="00712FCF">
      <w:pPr>
        <w:pStyle w:val="Reference"/>
      </w:pPr>
      <w:r w:rsidRPr="00FD0673">
        <w:t>Edbrooke SW (compiler) 2005: Geology of the Waikato area: scale 1:250,000. Lower Hutt: Institute of Geological &amp; Nuclear Sciences. Institute of Geological &amp; Nuclear Sciences 1:250,000 geological map 4. 68 p. + 1 folded map.</w:t>
      </w:r>
    </w:p>
    <w:p w14:paraId="29C1FBA5" w14:textId="77777777" w:rsidR="00712FCF" w:rsidRPr="00FD0673" w:rsidRDefault="00712FCF" w:rsidP="00712FCF">
      <w:pPr>
        <w:pStyle w:val="Reference"/>
      </w:pPr>
      <w:r w:rsidRPr="00FD0673">
        <w:t>Environment Court. 2011. Decision No. NZEnvC 163 in regards of Proposed Waikato Regional Plan Variation 5 – Lake Taupo catchment. 48 p.</w:t>
      </w:r>
    </w:p>
    <w:p w14:paraId="6E35AD76" w14:textId="77777777" w:rsidR="000A0E1B" w:rsidRPr="00820766" w:rsidRDefault="000A0E1B" w:rsidP="000A0E1B">
      <w:pPr>
        <w:pStyle w:val="Reference"/>
      </w:pPr>
      <w:r w:rsidRPr="00820766">
        <w:t>Forsyth PJ, Glassey PJ, Barrell DJA</w:t>
      </w:r>
      <w:r>
        <w:t>, compilers</w:t>
      </w:r>
      <w:r w:rsidRPr="00820766">
        <w:t>. 2001. Waitaki [map]. Lower Hutt (NZ): Institute of Geological &amp; Nuclear Sciences. 1 map + 64 p., scale 1:250,000. (Institute of Geological &amp; Nuclear Sciences 1:250,000 geological map; 19).</w:t>
      </w:r>
    </w:p>
    <w:p w14:paraId="1C4C6BF9" w14:textId="77777777" w:rsidR="000A0E1B" w:rsidRPr="00820766" w:rsidRDefault="000A0E1B" w:rsidP="000A0E1B">
      <w:pPr>
        <w:pStyle w:val="Reference"/>
      </w:pPr>
      <w:r w:rsidRPr="00820766">
        <w:t>Forsyth PJ, Barrell DJA, Jongens R, Begg JG</w:t>
      </w:r>
      <w:r>
        <w:t>, compilers</w:t>
      </w:r>
      <w:r w:rsidRPr="00820766">
        <w:t>. 2008. Christchurch [map]. Lower Hutt (NZ): GNS Science. 1 map +67 p., scale 1:250,000. (Institute of Geological &amp; Nuclear Sciences 1:250,000 geological map; 16).</w:t>
      </w:r>
    </w:p>
    <w:p w14:paraId="0B332806" w14:textId="77777777" w:rsidR="000A0E1B" w:rsidRDefault="000A0E1B" w:rsidP="000A0E1B">
      <w:pPr>
        <w:pStyle w:val="Reference"/>
      </w:pPr>
      <w:r>
        <w:t xml:space="preserve">Heron DW. 2014. Geological map of New Zealand 1:250,000. Lower Hutt (NZ): GNS Science. 1 CD. </w:t>
      </w:r>
      <w:r w:rsidRPr="00EF3C70">
        <w:t>(GNS Science geological map; 1).</w:t>
      </w:r>
    </w:p>
    <w:p w14:paraId="1928E990" w14:textId="77777777" w:rsidR="000A0E1B" w:rsidRPr="00252EF9" w:rsidRDefault="000A0E1B" w:rsidP="000A0E1B">
      <w:pPr>
        <w:pStyle w:val="Reference"/>
      </w:pPr>
      <w:r w:rsidRPr="00252EF9">
        <w:t>Isaac MJ. 1996. Kaitaia [map]. Lower Hutt (NZ): Institute of Geological &amp; Nuclear Sciences. 1 map + 44 p., scale 1:250,000. (Institute of Geological &amp; Nuclear Sciences 1:250,000 geological map;</w:t>
      </w:r>
      <w:r>
        <w:t> </w:t>
      </w:r>
      <w:r w:rsidRPr="00252EF9">
        <w:t>1).</w:t>
      </w:r>
    </w:p>
    <w:p w14:paraId="3221BFB7" w14:textId="77777777" w:rsidR="00383E3E" w:rsidRPr="00990501" w:rsidRDefault="00383E3E" w:rsidP="00383E3E">
      <w:pPr>
        <w:pStyle w:val="Reference"/>
      </w:pPr>
      <w:r w:rsidRPr="00990501">
        <w:t>Lee JM</w:t>
      </w:r>
      <w:r>
        <w:t xml:space="preserve">, </w:t>
      </w:r>
      <w:r w:rsidRPr="00990501">
        <w:t>Begg JG</w:t>
      </w:r>
      <w:r>
        <w:t>, compilers</w:t>
      </w:r>
      <w:r w:rsidRPr="00990501">
        <w:t>. 2002. Wairarapa [map]. Lower Hutt (NZ): Institute of Geological &amp; Nuclear Sciences. 1 map + 66 p., scale 1:250,000. (Institute of Geological &amp; Nuclear Sciences 1:250,000 geological map; 11).</w:t>
      </w:r>
    </w:p>
    <w:p w14:paraId="53C4AA11" w14:textId="77777777" w:rsidR="00383E3E" w:rsidRDefault="00383E3E" w:rsidP="00383E3E">
      <w:pPr>
        <w:pStyle w:val="Reference"/>
      </w:pPr>
      <w:r w:rsidRPr="00990501">
        <w:t>Lee JM, Browne GH, Begg JG</w:t>
      </w:r>
      <w:r>
        <w:t>, compilers</w:t>
      </w:r>
      <w:r w:rsidRPr="00990501">
        <w:t>. 2011. Hawke's Bay [map]. Lower Hutt (NZ): GNS Science. 1 map + 93 p., scale 1:250,000. (Institute of Geological &amp; Nuclear Sciences 1:250,000 geological map; 8).</w:t>
      </w:r>
    </w:p>
    <w:p w14:paraId="305F5D2F" w14:textId="6A26C175" w:rsidR="00383E3E" w:rsidRPr="009F2F3E" w:rsidRDefault="00383E3E" w:rsidP="00383E3E">
      <w:pPr>
        <w:pStyle w:val="Reference"/>
      </w:pPr>
      <w:r w:rsidRPr="009F2F3E">
        <w:t>Lee JM, Bland</w:t>
      </w:r>
      <w:r>
        <w:t xml:space="preserve"> </w:t>
      </w:r>
      <w:r w:rsidRPr="009F2F3E">
        <w:t xml:space="preserve">KJ, Townsend DB, Kamp PJJ. (compilers) 2011. Geology of the Hawkes Bay. area. Institute of Geological and Nuclear Sciences geological map 8: scale 1:250,000. Lower Hutt. </w:t>
      </w:r>
    </w:p>
    <w:p w14:paraId="5586AD3D" w14:textId="34B8F055" w:rsidR="00383E3E" w:rsidRDefault="00383E3E" w:rsidP="00383E3E">
      <w:pPr>
        <w:pStyle w:val="Reference"/>
      </w:pPr>
      <w:r w:rsidRPr="009F2F3E">
        <w:t>Leonard, GS, Begg JG, Wilson CJN, 2010. Institute of Geological and Nuclear Sciences geological map 5 Geology of the Rotorua area: scale 1:250,000. Lower Hutt.</w:t>
      </w:r>
    </w:p>
    <w:p w14:paraId="6889D16B" w14:textId="3D71F6C5" w:rsidR="000A0E1B" w:rsidRPr="00990501" w:rsidRDefault="000A0E1B" w:rsidP="000A0E1B">
      <w:pPr>
        <w:pStyle w:val="Reference"/>
      </w:pPr>
      <w:r w:rsidRPr="00990501">
        <w:t>Leonard GS, Begg JG, Wilson CJN</w:t>
      </w:r>
      <w:r>
        <w:t>, compilers</w:t>
      </w:r>
      <w:r w:rsidRPr="00990501">
        <w:t>. 2010. Rotorua [map]. Lower Hutt (NZ): Institute of Geological &amp; Nuclear Sciences. 1 map + 102 p., scale 1:250,000. (Institute of Geological &amp; Nuclear Sciences 1:250,000 geological map; 5).</w:t>
      </w:r>
    </w:p>
    <w:p w14:paraId="0A33E106" w14:textId="1E8184EF" w:rsidR="000A0E1B" w:rsidRDefault="000A0E1B" w:rsidP="000A0E1B">
      <w:pPr>
        <w:pStyle w:val="Reference"/>
      </w:pPr>
      <w:r w:rsidRPr="00990501">
        <w:lastRenderedPageBreak/>
        <w:t>Mazengarb C, Speden IG</w:t>
      </w:r>
      <w:r>
        <w:t>, compilers</w:t>
      </w:r>
      <w:r w:rsidRPr="00990501">
        <w:t>. 2000. Raukumara [map]. Lower Hutt (NZ): Institute of Geological &amp; Nuclear Sciences. 1 map + 60 p., scale 1:250,000. (Institute of Geological &amp; Nuclear Sciences 1:250,000 geological map; 6).</w:t>
      </w:r>
    </w:p>
    <w:p w14:paraId="554AB573" w14:textId="77777777" w:rsidR="00FB5A1F" w:rsidRDefault="00FB5A1F" w:rsidP="000A0E1B">
      <w:pPr>
        <w:pStyle w:val="Reference"/>
      </w:pPr>
      <w:r w:rsidRPr="00FB5A1F">
        <w:t>Moreau M, White PA, Mourot F, Rawlinson Z, Tschritter C, Cameron SC, Westerhoff R. 2019. Classification of New Zealand hydrogeological systems. Lower Hutt (NZ): GNS Science. [28] p. (GNS Science report; 2018/35). doi:10.21420/42QW-MC74.</w:t>
      </w:r>
    </w:p>
    <w:p w14:paraId="58FB4357" w14:textId="3604129C" w:rsidR="000A0E1B" w:rsidRPr="00BC6C65" w:rsidRDefault="000A0E1B" w:rsidP="000A0E1B">
      <w:pPr>
        <w:pStyle w:val="Reference"/>
      </w:pPr>
      <w:r w:rsidRPr="00BC6C65">
        <w:t>Nathan S, Rattenbury MS, Suggate RP</w:t>
      </w:r>
      <w:r>
        <w:t>, compilers</w:t>
      </w:r>
      <w:r w:rsidRPr="00BC6C65">
        <w:t>. 2002. Greymouth [map]. Lower Hutt (NZ): Institute of Geological &amp; Nuclear Sciences. 1 map + 58 p., scale 1:250,000. (Institute of Geological &amp; Nuclear Sciences 1:250,000 geological map; 12).</w:t>
      </w:r>
    </w:p>
    <w:p w14:paraId="1CEB6921" w14:textId="7A02BE94" w:rsidR="004714B5" w:rsidRDefault="004714B5" w:rsidP="004714B5">
      <w:pPr>
        <w:pStyle w:val="Reference"/>
      </w:pPr>
      <w:r>
        <w:t>Rawlinson ZJ, Begg J. 2014. Hydrogeology of the Upper Manawatu and Mangatainoka catchments, Tararua, GNS Science Consultancy Report 2014/127. 48 p</w:t>
      </w:r>
    </w:p>
    <w:p w14:paraId="37E7F08D" w14:textId="199994BB" w:rsidR="000A0E1B" w:rsidRPr="00145C92" w:rsidRDefault="000A0E1B" w:rsidP="000A0E1B">
      <w:pPr>
        <w:pStyle w:val="Reference"/>
      </w:pPr>
      <w:r w:rsidRPr="00145C92">
        <w:t>Rattenbury MS, Cooper RA, Johnston MR</w:t>
      </w:r>
      <w:r>
        <w:t xml:space="preserve">, compilers. 1998. </w:t>
      </w:r>
      <w:r w:rsidRPr="00145C92">
        <w:t>Nelson [map]. Lower Hutt (NZ): Institute of Geological &amp; Nuclear Sciences. 1 map + 67 p., scale 1:250,000. (Institute of Geological &amp; Nuclear Sciences 1:250,000 geological map; 9).</w:t>
      </w:r>
    </w:p>
    <w:p w14:paraId="580429B6" w14:textId="77777777" w:rsidR="000A0E1B" w:rsidRPr="00FD0673" w:rsidRDefault="000A0E1B" w:rsidP="000A0E1B">
      <w:pPr>
        <w:pStyle w:val="Reference"/>
      </w:pPr>
      <w:r w:rsidRPr="00145C92">
        <w:t xml:space="preserve">Rattenbury MS, </w:t>
      </w:r>
      <w:r>
        <w:t>Townsend DB, Johnston MR, compilers. 2006. Kaikoura</w:t>
      </w:r>
      <w:r w:rsidRPr="00145C92">
        <w:t xml:space="preserve"> [map]. Lower Hutt (NZ): </w:t>
      </w:r>
      <w:r>
        <w:t>GNS Science</w:t>
      </w:r>
      <w:r w:rsidRPr="00145C92">
        <w:t xml:space="preserve">. 1 map + </w:t>
      </w:r>
      <w:r>
        <w:t>70</w:t>
      </w:r>
      <w:r w:rsidRPr="00145C92">
        <w:t xml:space="preserve"> p., scale 1:250,000. (Institute of Geological &amp; Nuclear Sciences 1:250,000 geological map; </w:t>
      </w:r>
      <w:r>
        <w:t>13</w:t>
      </w:r>
      <w:r w:rsidRPr="00145C92">
        <w:t>).</w:t>
      </w:r>
    </w:p>
    <w:p w14:paraId="32C118D0" w14:textId="77777777" w:rsidR="000A0E1B" w:rsidRPr="000B2989" w:rsidRDefault="000A0E1B" w:rsidP="000A0E1B">
      <w:pPr>
        <w:pStyle w:val="Reference"/>
      </w:pPr>
      <w:r w:rsidRPr="000B2989">
        <w:t>Rattenbury MS, Jongens R, Cox SC</w:t>
      </w:r>
      <w:r>
        <w:t>, compilers</w:t>
      </w:r>
      <w:r w:rsidRPr="000B2989">
        <w:t>. 2010. Haast [map]. Lower Hutt (NZ): GNS Science. 1</w:t>
      </w:r>
      <w:r>
        <w:t> </w:t>
      </w:r>
      <w:r w:rsidRPr="000B2989">
        <w:t>map + 58 p., scale 1:250,000. (Institute of Geological &amp; Nuclear Sciences 1:250,000 geological map; 14).</w:t>
      </w:r>
    </w:p>
    <w:p w14:paraId="25CFF14D" w14:textId="77777777" w:rsidR="00970D6C" w:rsidRDefault="00970D6C" w:rsidP="00970D6C">
      <w:pPr>
        <w:pStyle w:val="Reference"/>
      </w:pPr>
      <w:r>
        <w:t>Todd DK, Mays LW. 2005. Groundwater hydrology. 3rd ed. Hoboken (NJ): Wiley. 636 p.</w:t>
      </w:r>
    </w:p>
    <w:p w14:paraId="2686DE81" w14:textId="6D78D1D1" w:rsidR="000A0E1B" w:rsidRPr="006A469E" w:rsidRDefault="000A0E1B" w:rsidP="000A0E1B">
      <w:pPr>
        <w:pStyle w:val="Reference"/>
      </w:pPr>
      <w:r w:rsidRPr="006A469E">
        <w:t>Townsend DB, Vonk A, Kamp PJJ</w:t>
      </w:r>
      <w:r>
        <w:t>, compilers</w:t>
      </w:r>
      <w:r w:rsidRPr="006A469E">
        <w:t>. 2008. Taranaki [map]. Lower Hutt (NZ): GNS Science. 1 map + 77 p., scale 1:250,000. (Institute of Geological &amp; Nuclear Sciences 1:250,000 geological map; 7).</w:t>
      </w:r>
    </w:p>
    <w:p w14:paraId="0E2204F5" w14:textId="77777777" w:rsidR="000A0E1B" w:rsidRPr="006A469E" w:rsidRDefault="000A0E1B" w:rsidP="000A0E1B">
      <w:pPr>
        <w:pStyle w:val="Reference"/>
      </w:pPr>
      <w:r w:rsidRPr="006A469E">
        <w:t>Turnbull IM</w:t>
      </w:r>
      <w:r>
        <w:t>, compiler</w:t>
      </w:r>
      <w:r w:rsidRPr="006A469E">
        <w:t>. 2000. Wakatipu [map]. Lower Hutt (NZ): Institute of Geological &amp; Nuclear Sciences. 1 map + 72 p., scale 1:250,000. (Institute of Geological &amp; Nuclear Sciences 1:250,000 geological map; 18).</w:t>
      </w:r>
    </w:p>
    <w:p w14:paraId="4A24D6D6" w14:textId="77777777" w:rsidR="000A0E1B" w:rsidRPr="00052E35" w:rsidRDefault="000A0E1B" w:rsidP="000A0E1B">
      <w:pPr>
        <w:pStyle w:val="Reference"/>
      </w:pPr>
      <w:r w:rsidRPr="00052E35">
        <w:t>Turnbull IM, Allibone AH. 2003. Murihiku [map]. Lower Hutt (NZ): Institute of Geological &amp; Nuclear Sciences. 1 map + 74 p., scale 1:250,000. (Institute of Geological &amp; Nuclear Sciences 1:250,000 geological map; 20).</w:t>
      </w:r>
    </w:p>
    <w:p w14:paraId="0252B38D" w14:textId="77777777" w:rsidR="000A0E1B" w:rsidRPr="00052E35" w:rsidRDefault="000A0E1B" w:rsidP="000A0E1B">
      <w:pPr>
        <w:pStyle w:val="Reference"/>
      </w:pPr>
      <w:r w:rsidRPr="00052E35">
        <w:t>Turnbull IM, Allibone AH, Jongens R</w:t>
      </w:r>
      <w:r>
        <w:t>, compilers</w:t>
      </w:r>
      <w:r w:rsidRPr="00052E35">
        <w:t>. 2010. Fiordland [map]. Lower Hutt (NZ): GNS</w:t>
      </w:r>
      <w:r>
        <w:t> </w:t>
      </w:r>
      <w:r w:rsidRPr="00052E35">
        <w:t>Science. 1 map +</w:t>
      </w:r>
      <w:r>
        <w:t xml:space="preserve"> </w:t>
      </w:r>
      <w:r w:rsidRPr="00052E35">
        <w:t>97 p., scale 1:250,000. (Institute of Geological &amp; Nuclear Sciences 1:250,000 geological map; 17).</w:t>
      </w:r>
    </w:p>
    <w:p w14:paraId="7FD56F29" w14:textId="77777777" w:rsidR="00383E3E" w:rsidRPr="00383E3E" w:rsidRDefault="00383E3E" w:rsidP="00383E3E">
      <w:pPr>
        <w:pStyle w:val="Reference"/>
      </w:pPr>
      <w:r w:rsidRPr="00383E3E">
        <w:t>White PA, Moreau M, Mourot F, Rawlinson ZJ. 2019 (Revised 2022). New Zealand groundwater atlas:hydrogeological-unit map of New Zealand. Lower Hutt (NZ): GNS Science. [86] p. Consultancy Report 2019/144.</w:t>
      </w:r>
    </w:p>
    <w:p w14:paraId="3A1686B5" w14:textId="6582E5C3" w:rsidR="00383E3E" w:rsidRPr="009F2F3E" w:rsidRDefault="00383E3E" w:rsidP="00383E3E">
      <w:pPr>
        <w:pStyle w:val="Reference"/>
      </w:pPr>
      <w:r w:rsidRPr="009F2F3E">
        <w:t>White PA, Moreau M, Reeves RR, Rae A, Tschritter C.2018. Evolution of geothermal-groundwater circulation systems and geology in the Quaternary Taupo Volcanic Zone: example of the Upper Waikato catchment, New Zealand. 40th Geothermal Workshop,14 – 16 November, Wairakei.</w:t>
      </w:r>
    </w:p>
    <w:p w14:paraId="0D3AAFB0" w14:textId="4E4095D1" w:rsidR="00383E3E" w:rsidRPr="0013300D" w:rsidRDefault="00383E3E" w:rsidP="00383E3E">
      <w:pPr>
        <w:pStyle w:val="Reference"/>
      </w:pPr>
      <w:r w:rsidRPr="0013300D">
        <w:t>White PA</w:t>
      </w:r>
      <w:r w:rsidR="004714B5">
        <w:t>,</w:t>
      </w:r>
      <w:r w:rsidRPr="0013300D">
        <w:t xml:space="preserve"> Raiber</w:t>
      </w:r>
      <w:r w:rsidR="004714B5">
        <w:t xml:space="preserve"> </w:t>
      </w:r>
      <w:r w:rsidRPr="0013300D">
        <w:t>M</w:t>
      </w:r>
      <w:r w:rsidR="004714B5">
        <w:t>,</w:t>
      </w:r>
      <w:r w:rsidRPr="0013300D">
        <w:t xml:space="preserve"> Tschritter C. 2018 Geological model and water budget of the Hauraki Plains, Waikato region. GNS Science consultancy report 2015/232. 63 p.</w:t>
      </w:r>
    </w:p>
    <w:p w14:paraId="1F72B5ED" w14:textId="086C96FC" w:rsidR="00383E3E" w:rsidRPr="003947D8" w:rsidRDefault="00383E3E" w:rsidP="00383E3E">
      <w:pPr>
        <w:pStyle w:val="Reference"/>
      </w:pPr>
      <w:r w:rsidRPr="003947D8">
        <w:t>White PA</w:t>
      </w:r>
      <w:r w:rsidR="004714B5">
        <w:t>,</w:t>
      </w:r>
      <w:r w:rsidRPr="003947D8">
        <w:t xml:space="preserve"> Tschritter C</w:t>
      </w:r>
      <w:r w:rsidR="004714B5">
        <w:t>,</w:t>
      </w:r>
      <w:r w:rsidRPr="003947D8">
        <w:t xml:space="preserve"> Moreau MF. 2016 Geological model of the Upper Waikato River catchment for application to groundwater resources. GNS Science consultancy report 2015/199. 41 p.</w:t>
      </w:r>
    </w:p>
    <w:p w14:paraId="50BAD43D" w14:textId="6DB071FD" w:rsidR="00712FCF" w:rsidRPr="00712FCF" w:rsidRDefault="00383E3E" w:rsidP="00FF2640">
      <w:pPr>
        <w:pStyle w:val="Reference"/>
      </w:pPr>
      <w:r w:rsidRPr="0013300D">
        <w:lastRenderedPageBreak/>
        <w:t>Wilson CJN, Houghton BF, Lloyd</w:t>
      </w:r>
      <w:r w:rsidR="004714B5">
        <w:t xml:space="preserve"> </w:t>
      </w:r>
      <w:r w:rsidRPr="0013300D">
        <w:t>EF. 1986. Volcanic history and evolution of the Maroa-Taupo area, Central North Island. In Smith, I. E. M. (Ed) Late Cenozoic Volcanism in New Zealand. The Royal Society of New Zealand. Bulletin 23. 194-223.</w:t>
      </w:r>
    </w:p>
    <w:sectPr w:rsidR="00712FCF" w:rsidRPr="00712F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050A9"/>
    <w:multiLevelType w:val="hybridMultilevel"/>
    <w:tmpl w:val="53A09F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E87C7D"/>
    <w:multiLevelType w:val="hybridMultilevel"/>
    <w:tmpl w:val="839430CC"/>
    <w:lvl w:ilvl="0" w:tplc="BE043D8C">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78E62D2"/>
    <w:multiLevelType w:val="hybridMultilevel"/>
    <w:tmpl w:val="BE3EF0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7C43881"/>
    <w:multiLevelType w:val="hybridMultilevel"/>
    <w:tmpl w:val="55A63556"/>
    <w:lvl w:ilvl="0" w:tplc="85F0EB02">
      <w:start w:val="1"/>
      <w:numFmt w:val="bullet"/>
      <w:pStyle w:val="List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3BB38B0"/>
    <w:multiLevelType w:val="multilevel"/>
    <w:tmpl w:val="72EAEB04"/>
    <w:lvl w:ilvl="0">
      <w:start w:val="1"/>
      <w:numFmt w:val="decimal"/>
      <w:pStyle w:val="Heading1"/>
      <w:lvlText w:val="%1.0"/>
      <w:lvlJc w:val="left"/>
      <w:pPr>
        <w:ind w:left="862" w:hanging="862"/>
      </w:pPr>
      <w:rPr>
        <w:rFonts w:hint="default"/>
      </w:rPr>
    </w:lvl>
    <w:lvl w:ilvl="1">
      <w:start w:val="1"/>
      <w:numFmt w:val="decimal"/>
      <w:pStyle w:val="Heading2"/>
      <w:lvlText w:val="%1.%2"/>
      <w:lvlJc w:val="left"/>
      <w:pPr>
        <w:ind w:left="862" w:hanging="86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862" w:hanging="862"/>
      </w:pPr>
      <w:rPr>
        <w:rFonts w:hint="default"/>
      </w:rPr>
    </w:lvl>
    <w:lvl w:ilvl="3">
      <w:start w:val="1"/>
      <w:numFmt w:val="decimal"/>
      <w:pStyle w:val="Heading4"/>
      <w:lvlText w:val="%1.%2.%3.%4"/>
      <w:lvlJc w:val="left"/>
      <w:pPr>
        <w:ind w:left="864" w:hanging="864"/>
      </w:pPr>
      <w:rPr>
        <w:rFonts w:hint="default"/>
      </w:rPr>
    </w:lvl>
    <w:lvl w:ilvl="4">
      <w:start w:val="1"/>
      <w:numFmt w:val="none"/>
      <w:lvlText w:val=""/>
      <w:lvlJc w:val="left"/>
      <w:pPr>
        <w:ind w:left="0" w:firstLine="0"/>
      </w:pPr>
      <w:rPr>
        <w:rFonts w:hint="default"/>
      </w:rPr>
    </w:lvl>
    <w:lvl w:ilvl="5">
      <w:start w:val="1"/>
      <w:numFmt w:val="decimal"/>
      <w:pStyle w:val="Heading6"/>
      <w:lvlText w:val="%5APPENDIX %6  "/>
      <w:lvlJc w:val="left"/>
      <w:pPr>
        <w:ind w:left="862" w:hanging="862"/>
      </w:pPr>
      <w:rPr>
        <w:rFonts w:hint="default"/>
      </w:rPr>
    </w:lvl>
    <w:lvl w:ilvl="6">
      <w:start w:val="1"/>
      <w:numFmt w:val="decimal"/>
      <w:pStyle w:val="Heading7"/>
      <w:lvlText w:val="%5A%6.%7"/>
      <w:lvlJc w:val="left"/>
      <w:pPr>
        <w:ind w:left="862" w:hanging="862"/>
      </w:pPr>
      <w:rPr>
        <w:rFonts w:hint="default"/>
      </w:rPr>
    </w:lvl>
    <w:lvl w:ilvl="7">
      <w:start w:val="1"/>
      <w:numFmt w:val="decimal"/>
      <w:pStyle w:val="Heading8"/>
      <w:lvlText w:val="A%6.%7.%8"/>
      <w:lvlJc w:val="left"/>
      <w:pPr>
        <w:ind w:left="862" w:hanging="862"/>
      </w:pPr>
      <w:rPr>
        <w:rFonts w:hint="default"/>
      </w:rPr>
    </w:lvl>
    <w:lvl w:ilvl="8">
      <w:start w:val="1"/>
      <w:numFmt w:val="decimal"/>
      <w:pStyle w:val="Heading9"/>
      <w:lvlText w:val="A%6.%7.%8.%9"/>
      <w:lvlJc w:val="left"/>
      <w:pPr>
        <w:ind w:left="868" w:hanging="868"/>
      </w:pPr>
      <w:rPr>
        <w:rFonts w:hint="default"/>
      </w:rPr>
    </w:lvl>
  </w:abstractNum>
  <w:abstractNum w:abstractNumId="5" w15:restartNumberingAfterBreak="0">
    <w:nsid w:val="3572265F"/>
    <w:multiLevelType w:val="hybridMultilevel"/>
    <w:tmpl w:val="3EEC560C"/>
    <w:lvl w:ilvl="0" w:tplc="14090011">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52FC4504"/>
    <w:multiLevelType w:val="hybridMultilevel"/>
    <w:tmpl w:val="FD4E46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9377D10"/>
    <w:multiLevelType w:val="multilevel"/>
    <w:tmpl w:val="DD083996"/>
    <w:lvl w:ilvl="0">
      <w:start w:val="1"/>
      <w:numFmt w:val="decimal"/>
      <w:lvlText w:val="%1"/>
      <w:lvlJc w:val="left"/>
      <w:pPr>
        <w:tabs>
          <w:tab w:val="num" w:pos="862"/>
        </w:tabs>
        <w:ind w:left="862" w:hanging="862"/>
      </w:pPr>
      <w:rPr>
        <w:rFonts w:ascii="Arial Bold" w:hAnsi="Arial Bold" w:hint="default"/>
        <w:b/>
        <w:i w:val="0"/>
        <w:caps/>
        <w:kern w:val="0"/>
        <w:sz w:val="24"/>
      </w:rPr>
    </w:lvl>
    <w:lvl w:ilvl="1">
      <w:start w:val="1"/>
      <w:numFmt w:val="decimal"/>
      <w:lvlText w:val="%1.%2"/>
      <w:lvlJc w:val="left"/>
      <w:pPr>
        <w:tabs>
          <w:tab w:val="num" w:pos="862"/>
        </w:tabs>
        <w:ind w:left="862" w:hanging="862"/>
      </w:pPr>
      <w:rPr>
        <w:rFonts w:ascii="Arial Bold" w:hAnsi="Arial Bold" w:hint="default"/>
        <w:b/>
        <w:i w:val="0"/>
        <w:caps w:val="0"/>
        <w:strike w:val="0"/>
        <w:dstrike w:val="0"/>
        <w:vanish w:val="0"/>
        <w:sz w:val="24"/>
        <w:vertAlign w:val="baseline"/>
      </w:rPr>
    </w:lvl>
    <w:lvl w:ilvl="2">
      <w:start w:val="1"/>
      <w:numFmt w:val="decimal"/>
      <w:lvlText w:val="%1.%2.%3"/>
      <w:lvlJc w:val="left"/>
      <w:pPr>
        <w:tabs>
          <w:tab w:val="num" w:pos="862"/>
        </w:tabs>
        <w:ind w:left="862" w:hanging="862"/>
      </w:pPr>
      <w:rPr>
        <w:rFonts w:ascii="Arial Bold" w:hAnsi="Arial Bold" w:hint="default"/>
        <w:b/>
        <w:i w:val="0"/>
      </w:rPr>
    </w:lvl>
    <w:lvl w:ilvl="3">
      <w:start w:val="1"/>
      <w:numFmt w:val="decimal"/>
      <w:lvlText w:val="%1.%2.%3.%4"/>
      <w:lvlJc w:val="left"/>
      <w:pPr>
        <w:tabs>
          <w:tab w:val="num" w:pos="862"/>
        </w:tabs>
        <w:ind w:left="864" w:hanging="864"/>
      </w:pPr>
      <w:rPr>
        <w:rFonts w:ascii="Arial Bold" w:hAnsi="Arial Bold" w:hint="default"/>
        <w:b/>
        <w:i w:val="0"/>
      </w:rPr>
    </w:lvl>
    <w:lvl w:ilvl="4">
      <w:start w:val="1"/>
      <w:numFmt w:val="none"/>
      <w:suff w:val="nothing"/>
      <w:lvlText w:val=""/>
      <w:lvlJc w:val="left"/>
      <w:pPr>
        <w:ind w:left="0" w:firstLine="0"/>
      </w:pPr>
      <w:rPr>
        <w:rFonts w:ascii="Arial Bold" w:hAnsi="Arial Bold" w:hint="default"/>
        <w:b/>
        <w:i w:val="0"/>
        <w:sz w:val="24"/>
      </w:rPr>
    </w:lvl>
    <w:lvl w:ilvl="5">
      <w:start w:val="1"/>
      <w:numFmt w:val="decimal"/>
      <w:lvlText w:val="Appendix %6:"/>
      <w:lvlJc w:val="left"/>
      <w:pPr>
        <w:tabs>
          <w:tab w:val="num" w:pos="567"/>
        </w:tabs>
        <w:ind w:left="567" w:hanging="567"/>
      </w:pPr>
      <w:rPr>
        <w:rFonts w:ascii="Arial Bold" w:hAnsi="Arial Bold" w:hint="default"/>
        <w:b/>
        <w:i w:val="0"/>
        <w:caps/>
        <w:color w:val="auto"/>
        <w:sz w:val="24"/>
      </w:rPr>
    </w:lvl>
    <w:lvl w:ilvl="6">
      <w:start w:val="1"/>
      <w:numFmt w:val="decimal"/>
      <w:lvlText w:val="A%6.%7"/>
      <w:lvlJc w:val="left"/>
      <w:pPr>
        <w:tabs>
          <w:tab w:val="num" w:pos="1134"/>
        </w:tabs>
        <w:ind w:left="1134" w:hanging="414"/>
      </w:pPr>
      <w:rPr>
        <w:rFonts w:ascii="Arial Bold" w:hAnsi="Arial Bold" w:hint="default"/>
        <w:b/>
        <w:i w:val="0"/>
      </w:rPr>
    </w:lvl>
    <w:lvl w:ilvl="7">
      <w:start w:val="1"/>
      <w:numFmt w:val="decimal"/>
      <w:lvlText w:val="A%8.%6.%7"/>
      <w:lvlJc w:val="left"/>
      <w:pPr>
        <w:tabs>
          <w:tab w:val="num" w:pos="1701"/>
        </w:tabs>
        <w:ind w:left="1701" w:hanging="261"/>
      </w:pPr>
      <w:rPr>
        <w:rFonts w:ascii="Arial Bold" w:hAnsi="Arial Bold" w:hint="default"/>
        <w:b/>
        <w:i w:val="0"/>
      </w:rPr>
    </w:lvl>
    <w:lvl w:ilvl="8">
      <w:start w:val="1"/>
      <w:numFmt w:val="decimal"/>
      <w:lvlText w:val="A%9.%6.%7.%8"/>
      <w:lvlJc w:val="left"/>
      <w:pPr>
        <w:tabs>
          <w:tab w:val="num" w:pos="567"/>
        </w:tabs>
        <w:ind w:left="720" w:hanging="720"/>
      </w:pPr>
      <w:rPr>
        <w:rFonts w:ascii="Arial Bold" w:hAnsi="Arial Bold" w:hint="default"/>
        <w:b/>
        <w:i w:val="0"/>
      </w:rPr>
    </w:lvl>
  </w:abstractNum>
  <w:abstractNum w:abstractNumId="8" w15:restartNumberingAfterBreak="0">
    <w:nsid w:val="7DFD1A10"/>
    <w:multiLevelType w:val="hybridMultilevel"/>
    <w:tmpl w:val="298ADA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E1A0BAF"/>
    <w:multiLevelType w:val="hybridMultilevel"/>
    <w:tmpl w:val="D6565BAA"/>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901356803">
    <w:abstractNumId w:val="4"/>
  </w:num>
  <w:num w:numId="2" w16cid:durableId="1259828782">
    <w:abstractNumId w:val="7"/>
  </w:num>
  <w:num w:numId="3" w16cid:durableId="1452552647">
    <w:abstractNumId w:val="3"/>
  </w:num>
  <w:num w:numId="4" w16cid:durableId="1357653631">
    <w:abstractNumId w:val="2"/>
  </w:num>
  <w:num w:numId="5" w16cid:durableId="1037242645">
    <w:abstractNumId w:val="1"/>
  </w:num>
  <w:num w:numId="6" w16cid:durableId="1364475880">
    <w:abstractNumId w:val="6"/>
  </w:num>
  <w:num w:numId="7" w16cid:durableId="1498350757">
    <w:abstractNumId w:val="5"/>
  </w:num>
  <w:num w:numId="8" w16cid:durableId="1406564000">
    <w:abstractNumId w:val="9"/>
  </w:num>
  <w:num w:numId="9" w16cid:durableId="835726454">
    <w:abstractNumId w:val="8"/>
  </w:num>
  <w:num w:numId="10" w16cid:durableId="761031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5A"/>
    <w:rsid w:val="00023264"/>
    <w:rsid w:val="00064083"/>
    <w:rsid w:val="00092BA9"/>
    <w:rsid w:val="000A0E1B"/>
    <w:rsid w:val="000E47EE"/>
    <w:rsid w:val="000F4360"/>
    <w:rsid w:val="000F61B6"/>
    <w:rsid w:val="00123D38"/>
    <w:rsid w:val="0013300D"/>
    <w:rsid w:val="00180A66"/>
    <w:rsid w:val="001A4254"/>
    <w:rsid w:val="001F0D8C"/>
    <w:rsid w:val="001F6D4E"/>
    <w:rsid w:val="002A1E73"/>
    <w:rsid w:val="002B4506"/>
    <w:rsid w:val="002D3B8F"/>
    <w:rsid w:val="002D7229"/>
    <w:rsid w:val="00306B0D"/>
    <w:rsid w:val="00351114"/>
    <w:rsid w:val="00351AE1"/>
    <w:rsid w:val="00353035"/>
    <w:rsid w:val="00363D05"/>
    <w:rsid w:val="00383E3E"/>
    <w:rsid w:val="003947D8"/>
    <w:rsid w:val="00395F2C"/>
    <w:rsid w:val="00406954"/>
    <w:rsid w:val="0044351C"/>
    <w:rsid w:val="004714B5"/>
    <w:rsid w:val="004B70F5"/>
    <w:rsid w:val="004C0662"/>
    <w:rsid w:val="004C07B6"/>
    <w:rsid w:val="004E07F8"/>
    <w:rsid w:val="005050F8"/>
    <w:rsid w:val="0051712E"/>
    <w:rsid w:val="005464A3"/>
    <w:rsid w:val="00555147"/>
    <w:rsid w:val="00555C25"/>
    <w:rsid w:val="0059609D"/>
    <w:rsid w:val="005A1368"/>
    <w:rsid w:val="005A3A1B"/>
    <w:rsid w:val="005B285A"/>
    <w:rsid w:val="005B3892"/>
    <w:rsid w:val="005B5118"/>
    <w:rsid w:val="00600B05"/>
    <w:rsid w:val="006111A1"/>
    <w:rsid w:val="006217BD"/>
    <w:rsid w:val="006377AD"/>
    <w:rsid w:val="00651AA6"/>
    <w:rsid w:val="00656AA4"/>
    <w:rsid w:val="00675655"/>
    <w:rsid w:val="0067630D"/>
    <w:rsid w:val="00687FAA"/>
    <w:rsid w:val="006B0CF8"/>
    <w:rsid w:val="006D4498"/>
    <w:rsid w:val="00704877"/>
    <w:rsid w:val="00704E62"/>
    <w:rsid w:val="00712FCF"/>
    <w:rsid w:val="00724AC1"/>
    <w:rsid w:val="007262BD"/>
    <w:rsid w:val="00734CEB"/>
    <w:rsid w:val="007423BE"/>
    <w:rsid w:val="00750071"/>
    <w:rsid w:val="0075045A"/>
    <w:rsid w:val="0077016F"/>
    <w:rsid w:val="00783E8D"/>
    <w:rsid w:val="00787CC3"/>
    <w:rsid w:val="007943EB"/>
    <w:rsid w:val="007E396F"/>
    <w:rsid w:val="00842E32"/>
    <w:rsid w:val="008E789D"/>
    <w:rsid w:val="008F6067"/>
    <w:rsid w:val="009019DA"/>
    <w:rsid w:val="00926237"/>
    <w:rsid w:val="00931B31"/>
    <w:rsid w:val="00935D37"/>
    <w:rsid w:val="0094214B"/>
    <w:rsid w:val="00954AAB"/>
    <w:rsid w:val="00970D6C"/>
    <w:rsid w:val="00983BA4"/>
    <w:rsid w:val="00985F77"/>
    <w:rsid w:val="009A008D"/>
    <w:rsid w:val="009F1B41"/>
    <w:rsid w:val="009F2F3E"/>
    <w:rsid w:val="00A06F76"/>
    <w:rsid w:val="00A428F0"/>
    <w:rsid w:val="00A64140"/>
    <w:rsid w:val="00A770F8"/>
    <w:rsid w:val="00A96874"/>
    <w:rsid w:val="00B10210"/>
    <w:rsid w:val="00B11902"/>
    <w:rsid w:val="00B26E53"/>
    <w:rsid w:val="00B44805"/>
    <w:rsid w:val="00B7263F"/>
    <w:rsid w:val="00B80C46"/>
    <w:rsid w:val="00BC252F"/>
    <w:rsid w:val="00BD2845"/>
    <w:rsid w:val="00BE40E0"/>
    <w:rsid w:val="00C509A0"/>
    <w:rsid w:val="00C844EE"/>
    <w:rsid w:val="00C855D4"/>
    <w:rsid w:val="00CA4C14"/>
    <w:rsid w:val="00CB5211"/>
    <w:rsid w:val="00CB769F"/>
    <w:rsid w:val="00CB7CDF"/>
    <w:rsid w:val="00CE082D"/>
    <w:rsid w:val="00CE2AA4"/>
    <w:rsid w:val="00D13CA8"/>
    <w:rsid w:val="00D27917"/>
    <w:rsid w:val="00D333E2"/>
    <w:rsid w:val="00D56D8B"/>
    <w:rsid w:val="00D6061A"/>
    <w:rsid w:val="00D65EEF"/>
    <w:rsid w:val="00D731BE"/>
    <w:rsid w:val="00DA3E32"/>
    <w:rsid w:val="00DB3F3B"/>
    <w:rsid w:val="00DC0CD4"/>
    <w:rsid w:val="00DD116A"/>
    <w:rsid w:val="00DE10B5"/>
    <w:rsid w:val="00E22045"/>
    <w:rsid w:val="00E323ED"/>
    <w:rsid w:val="00E407F6"/>
    <w:rsid w:val="00E55D98"/>
    <w:rsid w:val="00EC476B"/>
    <w:rsid w:val="00F0346F"/>
    <w:rsid w:val="00F061AA"/>
    <w:rsid w:val="00F30A82"/>
    <w:rsid w:val="00F42597"/>
    <w:rsid w:val="00F47FBC"/>
    <w:rsid w:val="00F945F3"/>
    <w:rsid w:val="00FB5A1F"/>
    <w:rsid w:val="00FB6DFD"/>
    <w:rsid w:val="00FC22BF"/>
    <w:rsid w:val="00FC3347"/>
    <w:rsid w:val="00FE0D7A"/>
    <w:rsid w:val="00FF26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3FDA5"/>
  <w15:chartTrackingRefBased/>
  <w15:docId w15:val="{B42B6127-E1F8-4AF7-AADF-46F41518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C0662"/>
    <w:pPr>
      <w:keepNext/>
      <w:pageBreakBefore/>
      <w:numPr>
        <w:numId w:val="1"/>
      </w:numPr>
      <w:spacing w:after="120" w:line="280" w:lineRule="atLeast"/>
      <w:outlineLvl w:val="0"/>
    </w:pPr>
    <w:rPr>
      <w:rFonts w:ascii="Arial" w:eastAsia="Times New Roman" w:hAnsi="Arial" w:cs="Arial"/>
      <w:b/>
      <w:bCs/>
      <w:caps/>
      <w:kern w:val="32"/>
      <w:sz w:val="24"/>
      <w:lang w:eastAsia="en-AU"/>
    </w:rPr>
  </w:style>
  <w:style w:type="paragraph" w:styleId="Heading2">
    <w:name w:val="heading 2"/>
    <w:basedOn w:val="Normal"/>
    <w:next w:val="Normal"/>
    <w:link w:val="Heading2Char"/>
    <w:qFormat/>
    <w:rsid w:val="004C0662"/>
    <w:pPr>
      <w:keepNext/>
      <w:numPr>
        <w:ilvl w:val="1"/>
        <w:numId w:val="1"/>
      </w:numPr>
      <w:spacing w:before="280" w:after="220" w:line="280" w:lineRule="atLeast"/>
      <w:outlineLvl w:val="1"/>
    </w:pPr>
    <w:rPr>
      <w:rFonts w:ascii="Arial Bold" w:eastAsia="Times New Roman" w:hAnsi="Arial Bold" w:cs="Arial"/>
      <w:b/>
      <w:bCs/>
      <w:iCs/>
      <w:sz w:val="24"/>
      <w:lang w:eastAsia="en-AU"/>
    </w:rPr>
  </w:style>
  <w:style w:type="paragraph" w:styleId="Heading3">
    <w:name w:val="heading 3"/>
    <w:basedOn w:val="Normal"/>
    <w:next w:val="Normal"/>
    <w:link w:val="Heading3Char"/>
    <w:qFormat/>
    <w:rsid w:val="004C0662"/>
    <w:pPr>
      <w:keepNext/>
      <w:numPr>
        <w:ilvl w:val="2"/>
        <w:numId w:val="1"/>
      </w:numPr>
      <w:spacing w:before="240" w:after="220" w:line="280" w:lineRule="atLeast"/>
      <w:outlineLvl w:val="2"/>
    </w:pPr>
    <w:rPr>
      <w:rFonts w:ascii="Arial" w:eastAsia="Times New Roman" w:hAnsi="Arial" w:cs="Arial"/>
      <w:b/>
      <w:bCs/>
      <w:szCs w:val="26"/>
      <w:lang w:eastAsia="en-AU"/>
    </w:rPr>
  </w:style>
  <w:style w:type="paragraph" w:styleId="Heading4">
    <w:name w:val="heading 4"/>
    <w:basedOn w:val="Heading5"/>
    <w:next w:val="Normal"/>
    <w:link w:val="Heading4Char"/>
    <w:qFormat/>
    <w:rsid w:val="004C0662"/>
    <w:pPr>
      <w:keepLines w:val="0"/>
      <w:numPr>
        <w:ilvl w:val="3"/>
        <w:numId w:val="1"/>
      </w:numPr>
      <w:spacing w:before="240" w:after="220" w:line="280" w:lineRule="atLeast"/>
      <w:outlineLvl w:val="3"/>
    </w:pPr>
    <w:rPr>
      <w:rFonts w:ascii="Arial" w:eastAsia="Times New Roman" w:hAnsi="Arial" w:cs="Arial"/>
      <w:b/>
      <w:bCs/>
      <w:iCs/>
      <w:color w:val="auto"/>
      <w:szCs w:val="26"/>
      <w:lang w:eastAsia="en-AU"/>
    </w:rPr>
  </w:style>
  <w:style w:type="paragraph" w:styleId="Heading5">
    <w:name w:val="heading 5"/>
    <w:basedOn w:val="Normal"/>
    <w:next w:val="Normal"/>
    <w:link w:val="Heading5Char"/>
    <w:uiPriority w:val="9"/>
    <w:semiHidden/>
    <w:unhideWhenUsed/>
    <w:qFormat/>
    <w:rsid w:val="004C066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rsid w:val="004C0662"/>
    <w:pPr>
      <w:keepNext/>
      <w:pageBreakBefore/>
      <w:numPr>
        <w:ilvl w:val="5"/>
        <w:numId w:val="1"/>
      </w:numPr>
      <w:tabs>
        <w:tab w:val="left" w:pos="1701"/>
      </w:tabs>
      <w:spacing w:before="480" w:after="120" w:line="280" w:lineRule="atLeast"/>
      <w:outlineLvl w:val="5"/>
    </w:pPr>
    <w:rPr>
      <w:rFonts w:ascii="Arial" w:eastAsia="Times New Roman" w:hAnsi="Arial" w:cs="Arial"/>
      <w:b/>
      <w:bCs/>
      <w:caps/>
      <w:sz w:val="24"/>
      <w:lang w:eastAsia="en-AU"/>
    </w:rPr>
  </w:style>
  <w:style w:type="paragraph" w:styleId="Heading7">
    <w:name w:val="heading 7"/>
    <w:basedOn w:val="Normal"/>
    <w:next w:val="Normal"/>
    <w:link w:val="Heading7Char"/>
    <w:rsid w:val="004C0662"/>
    <w:pPr>
      <w:keepNext/>
      <w:numPr>
        <w:ilvl w:val="6"/>
        <w:numId w:val="1"/>
      </w:numPr>
      <w:spacing w:before="280" w:after="220" w:line="280" w:lineRule="atLeast"/>
      <w:outlineLvl w:val="6"/>
    </w:pPr>
    <w:rPr>
      <w:rFonts w:ascii="Arial Bold" w:eastAsia="Times New Roman" w:hAnsi="Arial Bold" w:cs="Arial"/>
      <w:b/>
      <w:sz w:val="24"/>
      <w:szCs w:val="24"/>
      <w:lang w:eastAsia="en-AU"/>
    </w:rPr>
  </w:style>
  <w:style w:type="paragraph" w:styleId="Heading8">
    <w:name w:val="heading 8"/>
    <w:basedOn w:val="Normal"/>
    <w:next w:val="Normal"/>
    <w:link w:val="Heading8Char"/>
    <w:rsid w:val="004C0662"/>
    <w:pPr>
      <w:keepNext/>
      <w:numPr>
        <w:ilvl w:val="7"/>
        <w:numId w:val="1"/>
      </w:numPr>
      <w:spacing w:before="240" w:after="220" w:line="280" w:lineRule="atLeast"/>
      <w:outlineLvl w:val="7"/>
    </w:pPr>
    <w:rPr>
      <w:rFonts w:ascii="Arial" w:eastAsia="Times New Roman" w:hAnsi="Arial" w:cs="Arial"/>
      <w:b/>
      <w:iCs/>
      <w:szCs w:val="24"/>
      <w:lang w:eastAsia="en-AU"/>
    </w:rPr>
  </w:style>
  <w:style w:type="paragraph" w:styleId="Heading9">
    <w:name w:val="heading 9"/>
    <w:aliases w:val="Appendix 1"/>
    <w:basedOn w:val="Normal"/>
    <w:next w:val="Normal"/>
    <w:link w:val="Heading9Char"/>
    <w:semiHidden/>
    <w:rsid w:val="004C0662"/>
    <w:pPr>
      <w:keepNext/>
      <w:numPr>
        <w:ilvl w:val="8"/>
        <w:numId w:val="1"/>
      </w:numPr>
      <w:spacing w:before="240" w:after="220" w:line="280" w:lineRule="atLeast"/>
      <w:outlineLvl w:val="8"/>
    </w:pPr>
    <w:rPr>
      <w:rFonts w:ascii="Arial" w:eastAsia="Times New Roman" w:hAnsi="Arial" w:cs="Arial"/>
      <w:b/>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6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662"/>
    <w:rPr>
      <w:rFonts w:ascii="Segoe UI" w:hAnsi="Segoe UI" w:cs="Segoe UI"/>
      <w:sz w:val="18"/>
      <w:szCs w:val="18"/>
    </w:rPr>
  </w:style>
  <w:style w:type="paragraph" w:customStyle="1" w:styleId="Reference">
    <w:name w:val="Reference"/>
    <w:basedOn w:val="Normal"/>
    <w:next w:val="Normal"/>
    <w:link w:val="ReferenceChar"/>
    <w:rsid w:val="004C0662"/>
    <w:pPr>
      <w:keepLines/>
      <w:spacing w:before="100" w:after="0" w:line="280" w:lineRule="atLeast"/>
      <w:ind w:left="720" w:hanging="720"/>
    </w:pPr>
    <w:rPr>
      <w:rFonts w:ascii="Arial" w:eastAsia="Times New Roman" w:hAnsi="Arial" w:cs="Times New Roman"/>
      <w:sz w:val="20"/>
      <w:lang w:eastAsia="en-AU"/>
    </w:rPr>
  </w:style>
  <w:style w:type="character" w:customStyle="1" w:styleId="Heading1Char">
    <w:name w:val="Heading 1 Char"/>
    <w:basedOn w:val="DefaultParagraphFont"/>
    <w:link w:val="Heading1"/>
    <w:rsid w:val="004C0662"/>
    <w:rPr>
      <w:rFonts w:ascii="Arial" w:eastAsia="Times New Roman" w:hAnsi="Arial" w:cs="Arial"/>
      <w:b/>
      <w:bCs/>
      <w:caps/>
      <w:kern w:val="32"/>
      <w:sz w:val="24"/>
      <w:lang w:eastAsia="en-AU"/>
    </w:rPr>
  </w:style>
  <w:style w:type="character" w:customStyle="1" w:styleId="Heading2Char">
    <w:name w:val="Heading 2 Char"/>
    <w:basedOn w:val="DefaultParagraphFont"/>
    <w:link w:val="Heading2"/>
    <w:rsid w:val="004C0662"/>
    <w:rPr>
      <w:rFonts w:ascii="Arial Bold" w:eastAsia="Times New Roman" w:hAnsi="Arial Bold" w:cs="Arial"/>
      <w:b/>
      <w:bCs/>
      <w:iCs/>
      <w:sz w:val="24"/>
      <w:lang w:eastAsia="en-AU"/>
    </w:rPr>
  </w:style>
  <w:style w:type="character" w:customStyle="1" w:styleId="Heading3Char">
    <w:name w:val="Heading 3 Char"/>
    <w:basedOn w:val="DefaultParagraphFont"/>
    <w:link w:val="Heading3"/>
    <w:rsid w:val="004C0662"/>
    <w:rPr>
      <w:rFonts w:ascii="Arial" w:eastAsia="Times New Roman" w:hAnsi="Arial" w:cs="Arial"/>
      <w:b/>
      <w:bCs/>
      <w:szCs w:val="26"/>
      <w:lang w:eastAsia="en-AU"/>
    </w:rPr>
  </w:style>
  <w:style w:type="character" w:customStyle="1" w:styleId="Heading4Char">
    <w:name w:val="Heading 4 Char"/>
    <w:basedOn w:val="DefaultParagraphFont"/>
    <w:link w:val="Heading4"/>
    <w:rsid w:val="004C0662"/>
    <w:rPr>
      <w:rFonts w:ascii="Arial" w:eastAsia="Times New Roman" w:hAnsi="Arial" w:cs="Arial"/>
      <w:b/>
      <w:bCs/>
      <w:iCs/>
      <w:szCs w:val="26"/>
      <w:lang w:eastAsia="en-AU"/>
    </w:rPr>
  </w:style>
  <w:style w:type="character" w:customStyle="1" w:styleId="Heading6Char">
    <w:name w:val="Heading 6 Char"/>
    <w:basedOn w:val="DefaultParagraphFont"/>
    <w:link w:val="Heading6"/>
    <w:rsid w:val="004C0662"/>
    <w:rPr>
      <w:rFonts w:ascii="Arial" w:eastAsia="Times New Roman" w:hAnsi="Arial" w:cs="Arial"/>
      <w:b/>
      <w:bCs/>
      <w:caps/>
      <w:sz w:val="24"/>
      <w:lang w:eastAsia="en-AU"/>
    </w:rPr>
  </w:style>
  <w:style w:type="character" w:customStyle="1" w:styleId="Heading7Char">
    <w:name w:val="Heading 7 Char"/>
    <w:basedOn w:val="DefaultParagraphFont"/>
    <w:link w:val="Heading7"/>
    <w:rsid w:val="004C0662"/>
    <w:rPr>
      <w:rFonts w:ascii="Arial Bold" w:eastAsia="Times New Roman" w:hAnsi="Arial Bold" w:cs="Arial"/>
      <w:b/>
      <w:sz w:val="24"/>
      <w:szCs w:val="24"/>
      <w:lang w:eastAsia="en-AU"/>
    </w:rPr>
  </w:style>
  <w:style w:type="character" w:customStyle="1" w:styleId="Heading8Char">
    <w:name w:val="Heading 8 Char"/>
    <w:basedOn w:val="DefaultParagraphFont"/>
    <w:link w:val="Heading8"/>
    <w:rsid w:val="004C0662"/>
    <w:rPr>
      <w:rFonts w:ascii="Arial" w:eastAsia="Times New Roman" w:hAnsi="Arial" w:cs="Arial"/>
      <w:b/>
      <w:iCs/>
      <w:szCs w:val="24"/>
      <w:lang w:eastAsia="en-AU"/>
    </w:rPr>
  </w:style>
  <w:style w:type="character" w:customStyle="1" w:styleId="Heading9Char">
    <w:name w:val="Heading 9 Char"/>
    <w:aliases w:val="Appendix 1 Char"/>
    <w:basedOn w:val="DefaultParagraphFont"/>
    <w:link w:val="Heading9"/>
    <w:semiHidden/>
    <w:rsid w:val="004C0662"/>
    <w:rPr>
      <w:rFonts w:ascii="Arial" w:eastAsia="Times New Roman" w:hAnsi="Arial" w:cs="Arial"/>
      <w:b/>
      <w:lang w:eastAsia="en-AU"/>
    </w:rPr>
  </w:style>
  <w:style w:type="character" w:customStyle="1" w:styleId="Heading5Char">
    <w:name w:val="Heading 5 Char"/>
    <w:basedOn w:val="DefaultParagraphFont"/>
    <w:link w:val="Heading5"/>
    <w:uiPriority w:val="9"/>
    <w:semiHidden/>
    <w:rsid w:val="004C0662"/>
    <w:rPr>
      <w:rFonts w:asciiTheme="majorHAnsi" w:eastAsiaTheme="majorEastAsia" w:hAnsiTheme="majorHAnsi" w:cstheme="majorBidi"/>
      <w:color w:val="2F5496" w:themeColor="accent1" w:themeShade="BF"/>
    </w:rPr>
  </w:style>
  <w:style w:type="paragraph" w:styleId="ListBullet">
    <w:name w:val="List Bullet"/>
    <w:basedOn w:val="Normal"/>
    <w:next w:val="Normal"/>
    <w:rsid w:val="0051712E"/>
    <w:pPr>
      <w:keepLines/>
      <w:numPr>
        <w:numId w:val="3"/>
      </w:numPr>
      <w:tabs>
        <w:tab w:val="left" w:pos="567"/>
      </w:tabs>
      <w:spacing w:before="100" w:after="0" w:line="280" w:lineRule="atLeast"/>
      <w:ind w:left="567" w:hanging="567"/>
      <w:jc w:val="both"/>
    </w:pPr>
    <w:rPr>
      <w:rFonts w:ascii="Arial" w:eastAsia="Times New Roman" w:hAnsi="Arial" w:cs="Times New Roman"/>
      <w:lang w:eastAsia="en-NZ"/>
    </w:rPr>
  </w:style>
  <w:style w:type="character" w:styleId="CommentReference">
    <w:name w:val="annotation reference"/>
    <w:basedOn w:val="DefaultParagraphFont"/>
    <w:uiPriority w:val="99"/>
    <w:semiHidden/>
    <w:unhideWhenUsed/>
    <w:rsid w:val="00D27917"/>
    <w:rPr>
      <w:sz w:val="16"/>
      <w:szCs w:val="16"/>
    </w:rPr>
  </w:style>
  <w:style w:type="paragraph" w:styleId="CommentText">
    <w:name w:val="annotation text"/>
    <w:basedOn w:val="Normal"/>
    <w:link w:val="CommentTextChar"/>
    <w:uiPriority w:val="99"/>
    <w:semiHidden/>
    <w:unhideWhenUsed/>
    <w:rsid w:val="00D27917"/>
    <w:pPr>
      <w:spacing w:line="240" w:lineRule="auto"/>
    </w:pPr>
    <w:rPr>
      <w:sz w:val="20"/>
      <w:szCs w:val="20"/>
    </w:rPr>
  </w:style>
  <w:style w:type="character" w:customStyle="1" w:styleId="CommentTextChar">
    <w:name w:val="Comment Text Char"/>
    <w:basedOn w:val="DefaultParagraphFont"/>
    <w:link w:val="CommentText"/>
    <w:uiPriority w:val="99"/>
    <w:semiHidden/>
    <w:rsid w:val="00D27917"/>
    <w:rPr>
      <w:sz w:val="20"/>
      <w:szCs w:val="20"/>
    </w:rPr>
  </w:style>
  <w:style w:type="paragraph" w:styleId="CommentSubject">
    <w:name w:val="annotation subject"/>
    <w:basedOn w:val="CommentText"/>
    <w:next w:val="CommentText"/>
    <w:link w:val="CommentSubjectChar"/>
    <w:uiPriority w:val="99"/>
    <w:semiHidden/>
    <w:unhideWhenUsed/>
    <w:rsid w:val="00D27917"/>
    <w:rPr>
      <w:b/>
      <w:bCs/>
    </w:rPr>
  </w:style>
  <w:style w:type="character" w:customStyle="1" w:styleId="CommentSubjectChar">
    <w:name w:val="Comment Subject Char"/>
    <w:basedOn w:val="CommentTextChar"/>
    <w:link w:val="CommentSubject"/>
    <w:uiPriority w:val="99"/>
    <w:semiHidden/>
    <w:rsid w:val="00D27917"/>
    <w:rPr>
      <w:b/>
      <w:bCs/>
      <w:sz w:val="20"/>
      <w:szCs w:val="20"/>
    </w:rPr>
  </w:style>
  <w:style w:type="paragraph" w:styleId="ListParagraph">
    <w:name w:val="List Paragraph"/>
    <w:basedOn w:val="Normal"/>
    <w:uiPriority w:val="34"/>
    <w:qFormat/>
    <w:rsid w:val="00DB3F3B"/>
    <w:pPr>
      <w:ind w:left="720"/>
      <w:contextualSpacing/>
    </w:pPr>
  </w:style>
  <w:style w:type="character" w:customStyle="1" w:styleId="tx1">
    <w:name w:val="tx1"/>
    <w:basedOn w:val="DefaultParagraphFont"/>
    <w:rsid w:val="004C07B6"/>
    <w:rPr>
      <w:b/>
      <w:bCs/>
    </w:rPr>
  </w:style>
  <w:style w:type="character" w:customStyle="1" w:styleId="normaltextrun">
    <w:name w:val="normaltextrun"/>
    <w:basedOn w:val="DefaultParagraphFont"/>
    <w:rsid w:val="00783E8D"/>
  </w:style>
  <w:style w:type="character" w:customStyle="1" w:styleId="ReferenceChar">
    <w:name w:val="Reference Char"/>
    <w:basedOn w:val="DefaultParagraphFont"/>
    <w:link w:val="Reference"/>
    <w:locked/>
    <w:rsid w:val="00B11902"/>
    <w:rPr>
      <w:rFonts w:ascii="Arial" w:eastAsia="Times New Roman" w:hAnsi="Arial" w:cs="Times New Roman"/>
      <w:sz w:val="20"/>
      <w:lang w:eastAsia="en-AU"/>
    </w:rPr>
  </w:style>
  <w:style w:type="paragraph" w:customStyle="1" w:styleId="TableTextAlpha">
    <w:name w:val="Table Text Alpha"/>
    <w:basedOn w:val="Normal"/>
    <w:link w:val="TableTextAlphaChar"/>
    <w:rsid w:val="00712FCF"/>
    <w:pPr>
      <w:spacing w:before="40" w:after="40" w:line="280" w:lineRule="atLeast"/>
    </w:pPr>
    <w:rPr>
      <w:rFonts w:ascii="Arial" w:eastAsia="Times New Roman" w:hAnsi="Arial" w:cs="Times New Roman"/>
      <w:sz w:val="18"/>
      <w:lang w:eastAsia="en-AU"/>
    </w:rPr>
  </w:style>
  <w:style w:type="character" w:customStyle="1" w:styleId="TableTextAlphaChar">
    <w:name w:val="Table Text Alpha Char"/>
    <w:link w:val="TableTextAlpha"/>
    <w:rsid w:val="00712FCF"/>
    <w:rPr>
      <w:rFonts w:ascii="Arial" w:eastAsia="Times New Roman" w:hAnsi="Arial" w:cs="Times New Roman"/>
      <w:sz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5291">
      <w:bodyDiv w:val="1"/>
      <w:marLeft w:val="0"/>
      <w:marRight w:val="0"/>
      <w:marTop w:val="0"/>
      <w:marBottom w:val="0"/>
      <w:divBdr>
        <w:top w:val="none" w:sz="0" w:space="0" w:color="auto"/>
        <w:left w:val="none" w:sz="0" w:space="0" w:color="auto"/>
        <w:bottom w:val="none" w:sz="0" w:space="0" w:color="auto"/>
        <w:right w:val="none" w:sz="0" w:space="0" w:color="auto"/>
      </w:divBdr>
    </w:div>
    <w:div w:id="245530302">
      <w:bodyDiv w:val="1"/>
      <w:marLeft w:val="0"/>
      <w:marRight w:val="0"/>
      <w:marTop w:val="0"/>
      <w:marBottom w:val="0"/>
      <w:divBdr>
        <w:top w:val="none" w:sz="0" w:space="0" w:color="auto"/>
        <w:left w:val="none" w:sz="0" w:space="0" w:color="auto"/>
        <w:bottom w:val="none" w:sz="0" w:space="0" w:color="auto"/>
        <w:right w:val="none" w:sz="0" w:space="0" w:color="auto"/>
      </w:divBdr>
    </w:div>
    <w:div w:id="262568418">
      <w:bodyDiv w:val="1"/>
      <w:marLeft w:val="0"/>
      <w:marRight w:val="0"/>
      <w:marTop w:val="0"/>
      <w:marBottom w:val="0"/>
      <w:divBdr>
        <w:top w:val="none" w:sz="0" w:space="0" w:color="auto"/>
        <w:left w:val="none" w:sz="0" w:space="0" w:color="auto"/>
        <w:bottom w:val="none" w:sz="0" w:space="0" w:color="auto"/>
        <w:right w:val="none" w:sz="0" w:space="0" w:color="auto"/>
      </w:divBdr>
    </w:div>
    <w:div w:id="369111398">
      <w:bodyDiv w:val="1"/>
      <w:marLeft w:val="0"/>
      <w:marRight w:val="0"/>
      <w:marTop w:val="0"/>
      <w:marBottom w:val="0"/>
      <w:divBdr>
        <w:top w:val="none" w:sz="0" w:space="0" w:color="auto"/>
        <w:left w:val="none" w:sz="0" w:space="0" w:color="auto"/>
        <w:bottom w:val="none" w:sz="0" w:space="0" w:color="auto"/>
        <w:right w:val="none" w:sz="0" w:space="0" w:color="auto"/>
      </w:divBdr>
    </w:div>
    <w:div w:id="474567943">
      <w:bodyDiv w:val="1"/>
      <w:marLeft w:val="0"/>
      <w:marRight w:val="0"/>
      <w:marTop w:val="0"/>
      <w:marBottom w:val="0"/>
      <w:divBdr>
        <w:top w:val="none" w:sz="0" w:space="0" w:color="auto"/>
        <w:left w:val="none" w:sz="0" w:space="0" w:color="auto"/>
        <w:bottom w:val="none" w:sz="0" w:space="0" w:color="auto"/>
        <w:right w:val="none" w:sz="0" w:space="0" w:color="auto"/>
      </w:divBdr>
    </w:div>
    <w:div w:id="495809294">
      <w:bodyDiv w:val="1"/>
      <w:marLeft w:val="0"/>
      <w:marRight w:val="0"/>
      <w:marTop w:val="0"/>
      <w:marBottom w:val="0"/>
      <w:divBdr>
        <w:top w:val="none" w:sz="0" w:space="0" w:color="auto"/>
        <w:left w:val="none" w:sz="0" w:space="0" w:color="auto"/>
        <w:bottom w:val="none" w:sz="0" w:space="0" w:color="auto"/>
        <w:right w:val="none" w:sz="0" w:space="0" w:color="auto"/>
      </w:divBdr>
    </w:div>
    <w:div w:id="533542386">
      <w:bodyDiv w:val="1"/>
      <w:marLeft w:val="0"/>
      <w:marRight w:val="0"/>
      <w:marTop w:val="0"/>
      <w:marBottom w:val="0"/>
      <w:divBdr>
        <w:top w:val="none" w:sz="0" w:space="0" w:color="auto"/>
        <w:left w:val="none" w:sz="0" w:space="0" w:color="auto"/>
        <w:bottom w:val="none" w:sz="0" w:space="0" w:color="auto"/>
        <w:right w:val="none" w:sz="0" w:space="0" w:color="auto"/>
      </w:divBdr>
    </w:div>
    <w:div w:id="542206033">
      <w:bodyDiv w:val="1"/>
      <w:marLeft w:val="0"/>
      <w:marRight w:val="0"/>
      <w:marTop w:val="0"/>
      <w:marBottom w:val="0"/>
      <w:divBdr>
        <w:top w:val="none" w:sz="0" w:space="0" w:color="auto"/>
        <w:left w:val="none" w:sz="0" w:space="0" w:color="auto"/>
        <w:bottom w:val="none" w:sz="0" w:space="0" w:color="auto"/>
        <w:right w:val="none" w:sz="0" w:space="0" w:color="auto"/>
      </w:divBdr>
    </w:div>
    <w:div w:id="612594036">
      <w:bodyDiv w:val="1"/>
      <w:marLeft w:val="0"/>
      <w:marRight w:val="0"/>
      <w:marTop w:val="0"/>
      <w:marBottom w:val="0"/>
      <w:divBdr>
        <w:top w:val="none" w:sz="0" w:space="0" w:color="auto"/>
        <w:left w:val="none" w:sz="0" w:space="0" w:color="auto"/>
        <w:bottom w:val="none" w:sz="0" w:space="0" w:color="auto"/>
        <w:right w:val="none" w:sz="0" w:space="0" w:color="auto"/>
      </w:divBdr>
    </w:div>
    <w:div w:id="628632504">
      <w:bodyDiv w:val="1"/>
      <w:marLeft w:val="0"/>
      <w:marRight w:val="0"/>
      <w:marTop w:val="0"/>
      <w:marBottom w:val="0"/>
      <w:divBdr>
        <w:top w:val="none" w:sz="0" w:space="0" w:color="auto"/>
        <w:left w:val="none" w:sz="0" w:space="0" w:color="auto"/>
        <w:bottom w:val="none" w:sz="0" w:space="0" w:color="auto"/>
        <w:right w:val="none" w:sz="0" w:space="0" w:color="auto"/>
      </w:divBdr>
    </w:div>
    <w:div w:id="650452730">
      <w:bodyDiv w:val="1"/>
      <w:marLeft w:val="0"/>
      <w:marRight w:val="0"/>
      <w:marTop w:val="0"/>
      <w:marBottom w:val="0"/>
      <w:divBdr>
        <w:top w:val="none" w:sz="0" w:space="0" w:color="auto"/>
        <w:left w:val="none" w:sz="0" w:space="0" w:color="auto"/>
        <w:bottom w:val="none" w:sz="0" w:space="0" w:color="auto"/>
        <w:right w:val="none" w:sz="0" w:space="0" w:color="auto"/>
      </w:divBdr>
    </w:div>
    <w:div w:id="867718349">
      <w:bodyDiv w:val="1"/>
      <w:marLeft w:val="0"/>
      <w:marRight w:val="0"/>
      <w:marTop w:val="0"/>
      <w:marBottom w:val="0"/>
      <w:divBdr>
        <w:top w:val="none" w:sz="0" w:space="0" w:color="auto"/>
        <w:left w:val="none" w:sz="0" w:space="0" w:color="auto"/>
        <w:bottom w:val="none" w:sz="0" w:space="0" w:color="auto"/>
        <w:right w:val="none" w:sz="0" w:space="0" w:color="auto"/>
      </w:divBdr>
    </w:div>
    <w:div w:id="869684694">
      <w:bodyDiv w:val="1"/>
      <w:marLeft w:val="0"/>
      <w:marRight w:val="0"/>
      <w:marTop w:val="0"/>
      <w:marBottom w:val="0"/>
      <w:divBdr>
        <w:top w:val="none" w:sz="0" w:space="0" w:color="auto"/>
        <w:left w:val="none" w:sz="0" w:space="0" w:color="auto"/>
        <w:bottom w:val="none" w:sz="0" w:space="0" w:color="auto"/>
        <w:right w:val="none" w:sz="0" w:space="0" w:color="auto"/>
      </w:divBdr>
    </w:div>
    <w:div w:id="965504370">
      <w:bodyDiv w:val="1"/>
      <w:marLeft w:val="0"/>
      <w:marRight w:val="0"/>
      <w:marTop w:val="0"/>
      <w:marBottom w:val="0"/>
      <w:divBdr>
        <w:top w:val="none" w:sz="0" w:space="0" w:color="auto"/>
        <w:left w:val="none" w:sz="0" w:space="0" w:color="auto"/>
        <w:bottom w:val="none" w:sz="0" w:space="0" w:color="auto"/>
        <w:right w:val="none" w:sz="0" w:space="0" w:color="auto"/>
      </w:divBdr>
    </w:div>
    <w:div w:id="1135610465">
      <w:bodyDiv w:val="1"/>
      <w:marLeft w:val="0"/>
      <w:marRight w:val="0"/>
      <w:marTop w:val="0"/>
      <w:marBottom w:val="0"/>
      <w:divBdr>
        <w:top w:val="none" w:sz="0" w:space="0" w:color="auto"/>
        <w:left w:val="none" w:sz="0" w:space="0" w:color="auto"/>
        <w:bottom w:val="none" w:sz="0" w:space="0" w:color="auto"/>
        <w:right w:val="none" w:sz="0" w:space="0" w:color="auto"/>
      </w:divBdr>
    </w:div>
    <w:div w:id="1330594984">
      <w:bodyDiv w:val="1"/>
      <w:marLeft w:val="0"/>
      <w:marRight w:val="0"/>
      <w:marTop w:val="0"/>
      <w:marBottom w:val="0"/>
      <w:divBdr>
        <w:top w:val="none" w:sz="0" w:space="0" w:color="auto"/>
        <w:left w:val="none" w:sz="0" w:space="0" w:color="auto"/>
        <w:bottom w:val="none" w:sz="0" w:space="0" w:color="auto"/>
        <w:right w:val="none" w:sz="0" w:space="0" w:color="auto"/>
      </w:divBdr>
    </w:div>
    <w:div w:id="1435663939">
      <w:bodyDiv w:val="1"/>
      <w:marLeft w:val="0"/>
      <w:marRight w:val="0"/>
      <w:marTop w:val="0"/>
      <w:marBottom w:val="0"/>
      <w:divBdr>
        <w:top w:val="none" w:sz="0" w:space="0" w:color="auto"/>
        <w:left w:val="none" w:sz="0" w:space="0" w:color="auto"/>
        <w:bottom w:val="none" w:sz="0" w:space="0" w:color="auto"/>
        <w:right w:val="none" w:sz="0" w:space="0" w:color="auto"/>
      </w:divBdr>
    </w:div>
    <w:div w:id="1476676773">
      <w:bodyDiv w:val="1"/>
      <w:marLeft w:val="0"/>
      <w:marRight w:val="0"/>
      <w:marTop w:val="0"/>
      <w:marBottom w:val="0"/>
      <w:divBdr>
        <w:top w:val="none" w:sz="0" w:space="0" w:color="auto"/>
        <w:left w:val="none" w:sz="0" w:space="0" w:color="auto"/>
        <w:bottom w:val="none" w:sz="0" w:space="0" w:color="auto"/>
        <w:right w:val="none" w:sz="0" w:space="0" w:color="auto"/>
      </w:divBdr>
    </w:div>
    <w:div w:id="1666085413">
      <w:bodyDiv w:val="1"/>
      <w:marLeft w:val="0"/>
      <w:marRight w:val="0"/>
      <w:marTop w:val="0"/>
      <w:marBottom w:val="0"/>
      <w:divBdr>
        <w:top w:val="none" w:sz="0" w:space="0" w:color="auto"/>
        <w:left w:val="none" w:sz="0" w:space="0" w:color="auto"/>
        <w:bottom w:val="none" w:sz="0" w:space="0" w:color="auto"/>
        <w:right w:val="none" w:sz="0" w:space="0" w:color="auto"/>
      </w:divBdr>
    </w:div>
    <w:div w:id="171071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894</TotalTime>
  <Pages>5</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GNS Science</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Moreau</dc:creator>
  <cp:keywords/>
  <dc:description/>
  <cp:lastModifiedBy>Magali Moreau</cp:lastModifiedBy>
  <cp:revision>68</cp:revision>
  <dcterms:created xsi:type="dcterms:W3CDTF">2022-11-01T18:27:00Z</dcterms:created>
  <dcterms:modified xsi:type="dcterms:W3CDTF">2025-01-30T19:42:00Z</dcterms:modified>
</cp:coreProperties>
</file>