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37FAB" w14:textId="77777777" w:rsidR="0051712E" w:rsidRPr="00D27917" w:rsidRDefault="0051712E" w:rsidP="0051712E">
      <w:pPr>
        <w:rPr>
          <w:rFonts w:ascii="Arial" w:hAnsi="Arial" w:cs="Arial"/>
          <w:b/>
          <w:bCs/>
          <w:sz w:val="20"/>
          <w:szCs w:val="20"/>
        </w:rPr>
      </w:pPr>
      <w:r w:rsidRPr="00D27917">
        <w:rPr>
          <w:rFonts w:ascii="Arial" w:hAnsi="Arial" w:cs="Arial"/>
          <w:b/>
          <w:bCs/>
          <w:sz w:val="20"/>
          <w:szCs w:val="20"/>
        </w:rPr>
        <w:t>Title</w:t>
      </w:r>
    </w:p>
    <w:p w14:paraId="0805F9BE" w14:textId="48BD71B1" w:rsidR="0051712E" w:rsidRPr="002D3B8F" w:rsidRDefault="00F54D4F" w:rsidP="00E323ED">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New Zealand’s hydrogeological</w:t>
      </w:r>
      <w:r w:rsidR="004C07B6">
        <w:rPr>
          <w:rFonts w:ascii="Arial" w:hAnsi="Arial" w:cs="Arial"/>
          <w:sz w:val="20"/>
          <w:szCs w:val="20"/>
        </w:rPr>
        <w:t xml:space="preserve"> unit </w:t>
      </w:r>
      <w:r w:rsidR="0051712E" w:rsidRPr="002D3B8F">
        <w:rPr>
          <w:rFonts w:ascii="Arial" w:hAnsi="Arial" w:cs="Arial"/>
          <w:sz w:val="20"/>
          <w:szCs w:val="20"/>
        </w:rPr>
        <w:t>dataset</w:t>
      </w:r>
      <w:r w:rsidR="00D27917">
        <w:rPr>
          <w:rFonts w:ascii="Arial" w:hAnsi="Arial" w:cs="Arial"/>
          <w:sz w:val="20"/>
          <w:szCs w:val="20"/>
        </w:rPr>
        <w:t xml:space="preserve">. </w:t>
      </w:r>
    </w:p>
    <w:p w14:paraId="7B39A375" w14:textId="77777777" w:rsidR="0051712E" w:rsidRPr="00D27917" w:rsidRDefault="0051712E" w:rsidP="0051712E">
      <w:pPr>
        <w:rPr>
          <w:rFonts w:ascii="Arial" w:hAnsi="Arial" w:cs="Arial"/>
          <w:b/>
          <w:bCs/>
          <w:sz w:val="20"/>
          <w:szCs w:val="20"/>
        </w:rPr>
      </w:pPr>
      <w:r w:rsidRPr="00D27917">
        <w:rPr>
          <w:rFonts w:ascii="Arial" w:hAnsi="Arial" w:cs="Arial"/>
          <w:b/>
          <w:bCs/>
          <w:sz w:val="20"/>
          <w:szCs w:val="20"/>
        </w:rPr>
        <w:t>Date</w:t>
      </w:r>
    </w:p>
    <w:p w14:paraId="7C7DB542" w14:textId="19C4E480" w:rsidR="00E323ED" w:rsidRDefault="00F54D4F" w:rsidP="00E323ED">
      <w:pPr>
        <w:spacing w:after="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 xml:space="preserve">First </w:t>
      </w:r>
      <w:r w:rsidR="00D65EEF">
        <w:rPr>
          <w:rFonts w:ascii="Arial" w:hAnsi="Arial" w:cs="Arial"/>
          <w:sz w:val="20"/>
          <w:szCs w:val="20"/>
        </w:rPr>
        <w:t>R</w:t>
      </w:r>
      <w:r w:rsidR="0051712E" w:rsidRPr="002D3B8F">
        <w:rPr>
          <w:rFonts w:ascii="Arial" w:hAnsi="Arial" w:cs="Arial"/>
          <w:sz w:val="20"/>
          <w:szCs w:val="20"/>
        </w:rPr>
        <w:t xml:space="preserve">elease: </w:t>
      </w:r>
      <w:r w:rsidR="004C07B6">
        <w:rPr>
          <w:rFonts w:ascii="Arial" w:hAnsi="Arial" w:cs="Arial"/>
          <w:sz w:val="20"/>
          <w:szCs w:val="20"/>
        </w:rPr>
        <w:t>November</w:t>
      </w:r>
      <w:r w:rsidR="0051712E" w:rsidRPr="002D3B8F">
        <w:rPr>
          <w:rFonts w:ascii="Arial" w:hAnsi="Arial" w:cs="Arial"/>
          <w:sz w:val="20"/>
          <w:szCs w:val="20"/>
        </w:rPr>
        <w:t xml:space="preserve"> 2019</w:t>
      </w:r>
      <w:r w:rsidR="00D65EEF">
        <w:rPr>
          <w:rFonts w:ascii="Arial" w:hAnsi="Arial" w:cs="Arial"/>
          <w:sz w:val="20"/>
          <w:szCs w:val="20"/>
        </w:rPr>
        <w:t xml:space="preserve"> (White et al. 2019)</w:t>
      </w:r>
    </w:p>
    <w:p w14:paraId="680194C2" w14:textId="6F10EB4C" w:rsidR="0051712E" w:rsidRPr="002D3B8F" w:rsidRDefault="00F54D4F" w:rsidP="0051712E">
      <w:pPr>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 xml:space="preserve">Current </w:t>
      </w:r>
      <w:r w:rsidR="00D65EEF">
        <w:rPr>
          <w:rFonts w:ascii="Arial" w:hAnsi="Arial" w:cs="Arial"/>
          <w:sz w:val="20"/>
          <w:szCs w:val="20"/>
        </w:rPr>
        <w:t>R</w:t>
      </w:r>
      <w:r w:rsidR="0051712E" w:rsidRPr="002D3B8F">
        <w:rPr>
          <w:rFonts w:ascii="Arial" w:hAnsi="Arial" w:cs="Arial"/>
          <w:sz w:val="20"/>
          <w:szCs w:val="20"/>
        </w:rPr>
        <w:t>elease</w:t>
      </w:r>
      <w:r w:rsidR="0051712E" w:rsidRPr="00BE40E0">
        <w:rPr>
          <w:rFonts w:ascii="Arial" w:hAnsi="Arial" w:cs="Arial"/>
          <w:sz w:val="20"/>
          <w:szCs w:val="20"/>
        </w:rPr>
        <w:t xml:space="preserve">: </w:t>
      </w:r>
      <w:r w:rsidR="003601E1">
        <w:rPr>
          <w:rFonts w:ascii="Arial" w:hAnsi="Arial" w:cs="Arial"/>
          <w:sz w:val="20"/>
          <w:szCs w:val="20"/>
        </w:rPr>
        <w:t>May</w:t>
      </w:r>
      <w:r w:rsidR="0051712E" w:rsidRPr="00BE40E0">
        <w:rPr>
          <w:rFonts w:ascii="Arial" w:hAnsi="Arial" w:cs="Arial"/>
          <w:sz w:val="20"/>
          <w:szCs w:val="20"/>
        </w:rPr>
        <w:t xml:space="preserve"> 202</w:t>
      </w:r>
      <w:r w:rsidR="00455388">
        <w:rPr>
          <w:rFonts w:ascii="Arial" w:hAnsi="Arial" w:cs="Arial"/>
          <w:sz w:val="20"/>
          <w:szCs w:val="20"/>
        </w:rPr>
        <w:t>6</w:t>
      </w:r>
    </w:p>
    <w:p w14:paraId="1FB4BF27" w14:textId="684A974F" w:rsidR="0051712E" w:rsidRPr="002D3B8F" w:rsidRDefault="0051712E" w:rsidP="0051712E">
      <w:pPr>
        <w:rPr>
          <w:rFonts w:ascii="Arial" w:hAnsi="Arial" w:cs="Arial"/>
          <w:b/>
          <w:bCs/>
          <w:sz w:val="20"/>
          <w:szCs w:val="20"/>
        </w:rPr>
      </w:pPr>
      <w:r w:rsidRPr="002D3B8F">
        <w:rPr>
          <w:rFonts w:ascii="Arial" w:hAnsi="Arial" w:cs="Arial"/>
          <w:b/>
          <w:bCs/>
          <w:sz w:val="20"/>
          <w:szCs w:val="20"/>
        </w:rPr>
        <w:t>Abstract</w:t>
      </w:r>
    </w:p>
    <w:p w14:paraId="5A64767C" w14:textId="7ED090AF" w:rsidR="00F54D4F" w:rsidRDefault="004C07B6" w:rsidP="00F54D4F">
      <w:pPr>
        <w:jc w:val="both"/>
        <w:rPr>
          <w:rFonts w:ascii="Arial" w:hAnsi="Arial" w:cs="Arial"/>
          <w:sz w:val="20"/>
          <w:szCs w:val="20"/>
        </w:rPr>
      </w:pPr>
      <w:bookmarkStart w:id="0" w:name="_Hlk118265953"/>
      <w:bookmarkStart w:id="1" w:name="_Hlk118727438"/>
      <w:r>
        <w:rPr>
          <w:rFonts w:ascii="Arial" w:hAnsi="Arial" w:cs="Arial"/>
          <w:sz w:val="20"/>
          <w:szCs w:val="20"/>
        </w:rPr>
        <w:t xml:space="preserve">The </w:t>
      </w:r>
      <w:r w:rsidR="00F0346F" w:rsidRPr="00F0346F">
        <w:rPr>
          <w:rFonts w:ascii="Arial" w:hAnsi="Arial" w:cs="Arial"/>
          <w:sz w:val="20"/>
          <w:szCs w:val="20"/>
        </w:rPr>
        <w:t>NZ_hydrogeological_unit_stacked_</w:t>
      </w:r>
      <w:r w:rsidR="009D5F4F">
        <w:rPr>
          <w:rFonts w:ascii="Arial" w:hAnsi="Arial" w:cs="Arial"/>
          <w:sz w:val="20"/>
          <w:szCs w:val="20"/>
        </w:rPr>
        <w:t>north</w:t>
      </w:r>
      <w:r w:rsidR="00F0346F" w:rsidRPr="00F0346F">
        <w:rPr>
          <w:rFonts w:ascii="Arial" w:hAnsi="Arial" w:cs="Arial"/>
          <w:sz w:val="20"/>
          <w:szCs w:val="20"/>
        </w:rPr>
        <w:t>_island_</w:t>
      </w:r>
      <w:r w:rsidR="00FB5A1F">
        <w:rPr>
          <w:rFonts w:ascii="Arial" w:hAnsi="Arial" w:cs="Arial"/>
          <w:sz w:val="20"/>
          <w:szCs w:val="20"/>
        </w:rPr>
        <w:t>202</w:t>
      </w:r>
      <w:r w:rsidR="00455388">
        <w:rPr>
          <w:rFonts w:ascii="Arial" w:hAnsi="Arial" w:cs="Arial"/>
          <w:sz w:val="20"/>
          <w:szCs w:val="20"/>
        </w:rPr>
        <w:t>6</w:t>
      </w:r>
      <w:r w:rsidR="005F54A6">
        <w:rPr>
          <w:rFonts w:ascii="Arial" w:hAnsi="Arial" w:cs="Arial"/>
          <w:sz w:val="20"/>
          <w:szCs w:val="20"/>
        </w:rPr>
        <w:t>0514</w:t>
      </w:r>
      <w:r w:rsidRPr="002D3B8F">
        <w:rPr>
          <w:rFonts w:ascii="Arial" w:hAnsi="Arial" w:cs="Arial"/>
          <w:sz w:val="20"/>
          <w:szCs w:val="20"/>
        </w:rPr>
        <w:t>.</w:t>
      </w:r>
      <w:r w:rsidR="00F0346F">
        <w:rPr>
          <w:rFonts w:ascii="Arial" w:hAnsi="Arial" w:cs="Arial"/>
          <w:sz w:val="20"/>
          <w:szCs w:val="20"/>
        </w:rPr>
        <w:t>zip</w:t>
      </w:r>
      <w:r w:rsidRPr="002D3B8F">
        <w:rPr>
          <w:rFonts w:ascii="Arial" w:hAnsi="Arial" w:cs="Arial"/>
          <w:sz w:val="20"/>
          <w:szCs w:val="20"/>
        </w:rPr>
        <w:t xml:space="preserve">’ </w:t>
      </w:r>
      <w:bookmarkStart w:id="2" w:name="_Hlk118472362"/>
      <w:bookmarkStart w:id="3" w:name="_Hlk118265388"/>
      <w:bookmarkEnd w:id="0"/>
      <w:r w:rsidR="00F54D4F" w:rsidRPr="002D3B8F">
        <w:rPr>
          <w:rFonts w:ascii="Arial" w:hAnsi="Arial" w:cs="Arial"/>
          <w:sz w:val="20"/>
          <w:szCs w:val="20"/>
        </w:rPr>
        <w:t>dataset consists of</w:t>
      </w:r>
      <w:r w:rsidR="00F54D4F">
        <w:rPr>
          <w:rFonts w:ascii="Arial" w:hAnsi="Arial" w:cs="Arial"/>
          <w:sz w:val="20"/>
          <w:szCs w:val="20"/>
        </w:rPr>
        <w:t xml:space="preserve"> the following complementary files:</w:t>
      </w:r>
    </w:p>
    <w:p w14:paraId="5B2248C3" w14:textId="2728FBBA" w:rsidR="00F54D4F" w:rsidRPr="00985F77" w:rsidRDefault="00F54D4F" w:rsidP="00F54D4F">
      <w:pPr>
        <w:pStyle w:val="ListParagraph"/>
        <w:numPr>
          <w:ilvl w:val="0"/>
          <w:numId w:val="10"/>
        </w:numPr>
        <w:jc w:val="both"/>
        <w:rPr>
          <w:rFonts w:ascii="Arial" w:hAnsi="Arial" w:cs="Arial"/>
          <w:sz w:val="20"/>
          <w:szCs w:val="20"/>
        </w:rPr>
      </w:pPr>
      <w:r w:rsidRPr="00985F77">
        <w:rPr>
          <w:rFonts w:ascii="Arial" w:hAnsi="Arial" w:cs="Arial"/>
          <w:sz w:val="20"/>
          <w:szCs w:val="20"/>
        </w:rPr>
        <w:t>‘NZ_hydrogeological_unit_stacked_</w:t>
      </w:r>
      <w:r w:rsidR="009D5F4F">
        <w:rPr>
          <w:rFonts w:ascii="Arial" w:hAnsi="Arial" w:cs="Arial"/>
          <w:sz w:val="20"/>
          <w:szCs w:val="20"/>
        </w:rPr>
        <w:t>north</w:t>
      </w:r>
      <w:r>
        <w:rPr>
          <w:rFonts w:ascii="Arial" w:hAnsi="Arial" w:cs="Arial"/>
          <w:sz w:val="20"/>
          <w:szCs w:val="20"/>
        </w:rPr>
        <w:t>_island_</w:t>
      </w:r>
      <w:r w:rsidR="00455388">
        <w:rPr>
          <w:rFonts w:ascii="Arial" w:hAnsi="Arial" w:cs="Arial"/>
          <w:sz w:val="20"/>
          <w:szCs w:val="20"/>
        </w:rPr>
        <w:t>20260</w:t>
      </w:r>
      <w:r w:rsidR="003601E1">
        <w:rPr>
          <w:rFonts w:ascii="Arial" w:hAnsi="Arial" w:cs="Arial"/>
          <w:sz w:val="20"/>
          <w:szCs w:val="20"/>
        </w:rPr>
        <w:t>5</w:t>
      </w:r>
      <w:r w:rsidR="005F54A6">
        <w:rPr>
          <w:rFonts w:ascii="Arial" w:hAnsi="Arial" w:cs="Arial"/>
          <w:sz w:val="20"/>
          <w:szCs w:val="20"/>
        </w:rPr>
        <w:t>14</w:t>
      </w:r>
      <w:r w:rsidRPr="00985F77">
        <w:rPr>
          <w:rFonts w:ascii="Arial" w:hAnsi="Arial" w:cs="Arial"/>
          <w:sz w:val="20"/>
          <w:szCs w:val="20"/>
        </w:rPr>
        <w:t xml:space="preserve">.shp’ </w:t>
      </w:r>
      <w:r>
        <w:rPr>
          <w:rFonts w:ascii="Arial" w:hAnsi="Arial" w:cs="Arial"/>
          <w:sz w:val="20"/>
          <w:szCs w:val="20"/>
        </w:rPr>
        <w:t>which consist of</w:t>
      </w:r>
      <w:r w:rsidRPr="001F0D8C">
        <w:rPr>
          <w:rFonts w:ascii="Arial" w:hAnsi="Arial" w:cs="Arial"/>
          <w:sz w:val="20"/>
          <w:szCs w:val="20"/>
        </w:rPr>
        <w:t xml:space="preserve"> </w:t>
      </w:r>
      <w:r w:rsidRPr="004C07B6">
        <w:rPr>
          <w:rFonts w:ascii="Arial" w:hAnsi="Arial" w:cs="Arial"/>
          <w:sz w:val="20"/>
          <w:szCs w:val="20"/>
        </w:rPr>
        <w:t xml:space="preserve">overlapping stacked polygons that represent hydrogeological units </w:t>
      </w:r>
      <w:r>
        <w:rPr>
          <w:rFonts w:ascii="Arial" w:hAnsi="Arial" w:cs="Arial"/>
          <w:sz w:val="20"/>
          <w:szCs w:val="20"/>
        </w:rPr>
        <w:t>(i.e.,</w:t>
      </w:r>
      <w:r w:rsidRPr="004C07B6">
        <w:rPr>
          <w:rFonts w:ascii="Arial" w:hAnsi="Arial" w:cs="Arial"/>
          <w:sz w:val="20"/>
          <w:szCs w:val="20"/>
        </w:rPr>
        <w:t xml:space="preserve"> aquifers, aquitards, aquicludes and basement</w:t>
      </w:r>
      <w:r>
        <w:rPr>
          <w:rFonts w:ascii="Arial" w:hAnsi="Arial" w:cs="Arial"/>
          <w:sz w:val="20"/>
          <w:szCs w:val="20"/>
        </w:rPr>
        <w:t>)</w:t>
      </w:r>
      <w:r w:rsidRPr="004C07B6">
        <w:rPr>
          <w:rFonts w:ascii="Arial" w:hAnsi="Arial" w:cs="Arial"/>
          <w:sz w:val="20"/>
          <w:szCs w:val="20"/>
        </w:rPr>
        <w:t xml:space="preserve"> developed in a </w:t>
      </w:r>
      <w:r w:rsidRPr="00BE40E0">
        <w:rPr>
          <w:rFonts w:ascii="Arial" w:hAnsi="Arial" w:cs="Arial"/>
          <w:sz w:val="20"/>
          <w:szCs w:val="20"/>
        </w:rPr>
        <w:t>nationally-consistent manner.</w:t>
      </w:r>
    </w:p>
    <w:p w14:paraId="4D4E5940" w14:textId="3D997EF6" w:rsidR="00F54D4F" w:rsidRPr="00985F77" w:rsidRDefault="00F54D4F" w:rsidP="00F54D4F">
      <w:pPr>
        <w:pStyle w:val="ListParagraph"/>
        <w:numPr>
          <w:ilvl w:val="0"/>
          <w:numId w:val="10"/>
        </w:numPr>
        <w:jc w:val="both"/>
        <w:rPr>
          <w:rFonts w:ascii="Arial" w:hAnsi="Arial" w:cs="Arial"/>
          <w:sz w:val="20"/>
          <w:szCs w:val="20"/>
        </w:rPr>
      </w:pPr>
      <w:r w:rsidRPr="00985F77">
        <w:rPr>
          <w:rFonts w:ascii="Arial" w:hAnsi="Arial" w:cs="Arial"/>
          <w:sz w:val="20"/>
          <w:szCs w:val="20"/>
        </w:rPr>
        <w:t>‘HUM_data_dictionary</w:t>
      </w:r>
      <w:r>
        <w:rPr>
          <w:rFonts w:ascii="Arial" w:hAnsi="Arial" w:cs="Arial"/>
          <w:sz w:val="20"/>
          <w:szCs w:val="20"/>
        </w:rPr>
        <w:t>_</w:t>
      </w:r>
      <w:r w:rsidR="00455388">
        <w:rPr>
          <w:rFonts w:ascii="Arial" w:hAnsi="Arial" w:cs="Arial"/>
          <w:sz w:val="20"/>
          <w:szCs w:val="20"/>
        </w:rPr>
        <w:t>20260</w:t>
      </w:r>
      <w:r w:rsidR="003601E1">
        <w:rPr>
          <w:rFonts w:ascii="Arial" w:hAnsi="Arial" w:cs="Arial"/>
          <w:sz w:val="20"/>
          <w:szCs w:val="20"/>
        </w:rPr>
        <w:t>5</w:t>
      </w:r>
      <w:r w:rsidR="005F54A6">
        <w:rPr>
          <w:rFonts w:ascii="Arial" w:hAnsi="Arial" w:cs="Arial"/>
          <w:sz w:val="20"/>
          <w:szCs w:val="20"/>
        </w:rPr>
        <w:t>14</w:t>
      </w:r>
      <w:r w:rsidRPr="00985F77">
        <w:rPr>
          <w:rFonts w:ascii="Arial" w:hAnsi="Arial" w:cs="Arial"/>
          <w:sz w:val="20"/>
          <w:szCs w:val="20"/>
        </w:rPr>
        <w:t xml:space="preserve">.csv’ </w:t>
      </w:r>
      <w:r>
        <w:rPr>
          <w:rFonts w:ascii="Arial" w:hAnsi="Arial" w:cs="Arial"/>
          <w:sz w:val="20"/>
          <w:szCs w:val="20"/>
        </w:rPr>
        <w:t>which</w:t>
      </w:r>
      <w:r w:rsidRPr="00985F77">
        <w:rPr>
          <w:rFonts w:ascii="Arial" w:hAnsi="Arial" w:cs="Arial"/>
          <w:sz w:val="20"/>
          <w:szCs w:val="20"/>
        </w:rPr>
        <w:t xml:space="preserve"> summarises attributes, values and descriptions</w:t>
      </w:r>
      <w:r w:rsidRPr="00CB7CDF">
        <w:t xml:space="preserve"> </w:t>
      </w:r>
      <w:r>
        <w:t>from the GIS dataset;</w:t>
      </w:r>
    </w:p>
    <w:p w14:paraId="51C2C21E" w14:textId="34F431EE" w:rsidR="00F54D4F" w:rsidRPr="00985F77" w:rsidRDefault="00F54D4F" w:rsidP="00F54D4F">
      <w:pPr>
        <w:pStyle w:val="ListParagraph"/>
        <w:numPr>
          <w:ilvl w:val="0"/>
          <w:numId w:val="10"/>
        </w:numPr>
        <w:jc w:val="both"/>
        <w:rPr>
          <w:rFonts w:ascii="Arial" w:hAnsi="Arial" w:cs="Arial"/>
          <w:sz w:val="20"/>
          <w:szCs w:val="20"/>
        </w:rPr>
      </w:pPr>
      <w:r>
        <w:t>‘</w:t>
      </w:r>
      <w:r w:rsidRPr="00985F77">
        <w:rPr>
          <w:rFonts w:ascii="Arial" w:hAnsi="Arial" w:cs="Arial"/>
          <w:sz w:val="20"/>
          <w:szCs w:val="20"/>
        </w:rPr>
        <w:t>HUM_unit_list</w:t>
      </w:r>
      <w:r>
        <w:rPr>
          <w:rFonts w:ascii="Arial" w:hAnsi="Arial" w:cs="Arial"/>
          <w:sz w:val="20"/>
          <w:szCs w:val="20"/>
        </w:rPr>
        <w:t>_</w:t>
      </w:r>
      <w:r w:rsidR="00455388">
        <w:rPr>
          <w:rFonts w:ascii="Arial" w:hAnsi="Arial" w:cs="Arial"/>
          <w:sz w:val="20"/>
          <w:szCs w:val="20"/>
        </w:rPr>
        <w:t>20260</w:t>
      </w:r>
      <w:r w:rsidR="003601E1">
        <w:rPr>
          <w:rFonts w:ascii="Arial" w:hAnsi="Arial" w:cs="Arial"/>
          <w:sz w:val="20"/>
          <w:szCs w:val="20"/>
        </w:rPr>
        <w:t>5</w:t>
      </w:r>
      <w:r w:rsidR="005F54A6">
        <w:rPr>
          <w:rFonts w:ascii="Arial" w:hAnsi="Arial" w:cs="Arial"/>
          <w:sz w:val="20"/>
          <w:szCs w:val="20"/>
        </w:rPr>
        <w:t>14</w:t>
      </w:r>
      <w:r w:rsidRPr="00985F77">
        <w:rPr>
          <w:rFonts w:ascii="Arial" w:hAnsi="Arial" w:cs="Arial"/>
          <w:sz w:val="20"/>
          <w:szCs w:val="20"/>
        </w:rPr>
        <w:t>.csv</w:t>
      </w:r>
      <w:r>
        <w:rPr>
          <w:rFonts w:ascii="Arial" w:hAnsi="Arial" w:cs="Arial"/>
          <w:sz w:val="20"/>
          <w:szCs w:val="20"/>
        </w:rPr>
        <w:t>’ which lists HUM unit names;</w:t>
      </w:r>
    </w:p>
    <w:p w14:paraId="379DD8E2" w14:textId="4D488E5D" w:rsidR="00F54D4F" w:rsidRPr="00985F77" w:rsidRDefault="00F54D4F" w:rsidP="00F54D4F">
      <w:pPr>
        <w:pStyle w:val="ListParagraph"/>
        <w:numPr>
          <w:ilvl w:val="0"/>
          <w:numId w:val="10"/>
        </w:numPr>
        <w:jc w:val="both"/>
        <w:rPr>
          <w:rFonts w:ascii="Arial" w:hAnsi="Arial" w:cs="Arial"/>
          <w:sz w:val="20"/>
          <w:szCs w:val="20"/>
        </w:rPr>
      </w:pPr>
      <w:r>
        <w:rPr>
          <w:rFonts w:ascii="Arial" w:hAnsi="Arial" w:cs="Arial"/>
          <w:sz w:val="20"/>
          <w:szCs w:val="20"/>
        </w:rPr>
        <w:t>‘</w:t>
      </w:r>
      <w:r w:rsidRPr="00985F77">
        <w:rPr>
          <w:rFonts w:ascii="Arial" w:hAnsi="Arial" w:cs="Arial"/>
          <w:sz w:val="20"/>
          <w:szCs w:val="20"/>
        </w:rPr>
        <w:t>HUM_facies_list</w:t>
      </w:r>
      <w:r>
        <w:rPr>
          <w:rFonts w:ascii="Arial" w:hAnsi="Arial" w:cs="Arial"/>
          <w:sz w:val="20"/>
          <w:szCs w:val="20"/>
        </w:rPr>
        <w:t>_</w:t>
      </w:r>
      <w:r w:rsidR="00455388">
        <w:rPr>
          <w:rFonts w:ascii="Arial" w:hAnsi="Arial" w:cs="Arial"/>
          <w:sz w:val="20"/>
          <w:szCs w:val="20"/>
        </w:rPr>
        <w:t>20260</w:t>
      </w:r>
      <w:r w:rsidR="003601E1">
        <w:rPr>
          <w:rFonts w:ascii="Arial" w:hAnsi="Arial" w:cs="Arial"/>
          <w:sz w:val="20"/>
          <w:szCs w:val="20"/>
        </w:rPr>
        <w:t>5</w:t>
      </w:r>
      <w:r w:rsidR="005F54A6">
        <w:rPr>
          <w:rFonts w:ascii="Arial" w:hAnsi="Arial" w:cs="Arial"/>
          <w:sz w:val="20"/>
          <w:szCs w:val="20"/>
        </w:rPr>
        <w:t>14</w:t>
      </w:r>
      <w:r w:rsidRPr="00985F77">
        <w:rPr>
          <w:rFonts w:ascii="Arial" w:hAnsi="Arial" w:cs="Arial"/>
          <w:sz w:val="20"/>
          <w:szCs w:val="20"/>
        </w:rPr>
        <w:t>.csv</w:t>
      </w:r>
      <w:r>
        <w:rPr>
          <w:rFonts w:ascii="Arial" w:hAnsi="Arial" w:cs="Arial"/>
          <w:sz w:val="20"/>
          <w:szCs w:val="20"/>
        </w:rPr>
        <w:t>’ which lists facies names;</w:t>
      </w:r>
    </w:p>
    <w:p w14:paraId="3D9623BA" w14:textId="14BF1B50" w:rsidR="00F54D4F" w:rsidRDefault="00F54D4F" w:rsidP="00F54D4F">
      <w:pPr>
        <w:pStyle w:val="ListParagraph"/>
        <w:numPr>
          <w:ilvl w:val="0"/>
          <w:numId w:val="10"/>
        </w:numPr>
        <w:jc w:val="both"/>
        <w:rPr>
          <w:rFonts w:ascii="Arial" w:hAnsi="Arial" w:cs="Arial"/>
          <w:sz w:val="20"/>
          <w:szCs w:val="20"/>
        </w:rPr>
      </w:pPr>
      <w:r w:rsidRPr="00985F77">
        <w:rPr>
          <w:rFonts w:ascii="Arial" w:hAnsi="Arial" w:cs="Arial"/>
          <w:sz w:val="20"/>
          <w:szCs w:val="20"/>
        </w:rPr>
        <w:t>‘HUM_facies_model_list</w:t>
      </w:r>
      <w:r>
        <w:rPr>
          <w:rFonts w:ascii="Arial" w:hAnsi="Arial" w:cs="Arial"/>
          <w:sz w:val="20"/>
          <w:szCs w:val="20"/>
        </w:rPr>
        <w:t>_</w:t>
      </w:r>
      <w:r w:rsidR="00455388">
        <w:rPr>
          <w:rFonts w:ascii="Arial" w:hAnsi="Arial" w:cs="Arial"/>
          <w:sz w:val="20"/>
          <w:szCs w:val="20"/>
        </w:rPr>
        <w:t>20260</w:t>
      </w:r>
      <w:r w:rsidR="003601E1">
        <w:rPr>
          <w:rFonts w:ascii="Arial" w:hAnsi="Arial" w:cs="Arial"/>
          <w:sz w:val="20"/>
          <w:szCs w:val="20"/>
        </w:rPr>
        <w:t>5</w:t>
      </w:r>
      <w:r w:rsidR="005F54A6">
        <w:rPr>
          <w:rFonts w:ascii="Arial" w:hAnsi="Arial" w:cs="Arial"/>
          <w:sz w:val="20"/>
          <w:szCs w:val="20"/>
        </w:rPr>
        <w:t>14</w:t>
      </w:r>
      <w:r w:rsidRPr="00985F77">
        <w:rPr>
          <w:rFonts w:ascii="Arial" w:hAnsi="Arial" w:cs="Arial"/>
          <w:sz w:val="20"/>
          <w:szCs w:val="20"/>
        </w:rPr>
        <w:t>.csv’ which lists current facies model and their definition criteria</w:t>
      </w:r>
      <w:r>
        <w:rPr>
          <w:rFonts w:ascii="Arial" w:hAnsi="Arial" w:cs="Arial"/>
          <w:sz w:val="20"/>
          <w:szCs w:val="20"/>
        </w:rPr>
        <w:t>.</w:t>
      </w:r>
    </w:p>
    <w:p w14:paraId="43E5774E" w14:textId="77777777" w:rsidR="00F54D4F" w:rsidRPr="00985F77" w:rsidRDefault="00F54D4F" w:rsidP="00F54D4F">
      <w:pPr>
        <w:jc w:val="both"/>
        <w:rPr>
          <w:rFonts w:ascii="Arial" w:hAnsi="Arial" w:cs="Arial"/>
          <w:sz w:val="20"/>
          <w:szCs w:val="20"/>
        </w:rPr>
      </w:pPr>
      <w:r w:rsidRPr="00985F77">
        <w:rPr>
          <w:rFonts w:ascii="Arial" w:hAnsi="Arial" w:cs="Arial"/>
          <w:sz w:val="20"/>
          <w:szCs w:val="20"/>
        </w:rPr>
        <w:t>Each polygon is attributed</w:t>
      </w:r>
      <w:r>
        <w:rPr>
          <w:rFonts w:ascii="Arial" w:hAnsi="Arial" w:cs="Arial"/>
          <w:sz w:val="20"/>
          <w:szCs w:val="20"/>
        </w:rPr>
        <w:t xml:space="preserve"> with</w:t>
      </w:r>
      <w:r w:rsidRPr="00985F77">
        <w:rPr>
          <w:rFonts w:ascii="Arial" w:hAnsi="Arial" w:cs="Arial"/>
          <w:sz w:val="20"/>
          <w:szCs w:val="20"/>
        </w:rPr>
        <w:t xml:space="preserve"> the following attributes (</w:t>
      </w:r>
      <w:r>
        <w:rPr>
          <w:rFonts w:ascii="Arial" w:hAnsi="Arial" w:cs="Arial"/>
          <w:sz w:val="20"/>
          <w:szCs w:val="20"/>
        </w:rPr>
        <w:t xml:space="preserve">dataset </w:t>
      </w:r>
      <w:r w:rsidRPr="00985F77">
        <w:rPr>
          <w:rFonts w:ascii="Arial" w:hAnsi="Arial" w:cs="Arial"/>
          <w:sz w:val="20"/>
          <w:szCs w:val="20"/>
        </w:rPr>
        <w:t xml:space="preserve">attribute names in brackets): </w:t>
      </w:r>
    </w:p>
    <w:p w14:paraId="551EB1EB"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unique identification number (HUM_ID), </w:t>
      </w:r>
    </w:p>
    <w:p w14:paraId="159C6242"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unique name (HUM_name), </w:t>
      </w:r>
    </w:p>
    <w:p w14:paraId="2B72484F"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hydrogeological unit type (HUM_type), </w:t>
      </w:r>
    </w:p>
    <w:p w14:paraId="5A4CB95E"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geological era (HUM_era), </w:t>
      </w:r>
    </w:p>
    <w:p w14:paraId="4C702D9B"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geological age descriptor (HUM_age), </w:t>
      </w:r>
    </w:p>
    <w:p w14:paraId="069260B7"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lithological type (HUM_lith), </w:t>
      </w:r>
    </w:p>
    <w:p w14:paraId="3894F1F2"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lithological descriptor (HUM_rock)</w:t>
      </w:r>
      <w:r>
        <w:rPr>
          <w:rFonts w:ascii="Arial" w:hAnsi="Arial" w:cs="Arial"/>
          <w:sz w:val="20"/>
          <w:szCs w:val="20"/>
        </w:rPr>
        <w:t>,</w:t>
      </w:r>
    </w:p>
    <w:p w14:paraId="4512A3DC"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 xml:space="preserve">polygon-specific </w:t>
      </w:r>
      <w:r w:rsidRPr="00CE082D">
        <w:rPr>
          <w:rFonts w:ascii="Arial" w:hAnsi="Arial" w:cs="Arial"/>
          <w:sz w:val="20"/>
          <w:szCs w:val="20"/>
        </w:rPr>
        <w:t>depositional facies name (facies)</w:t>
      </w:r>
      <w:r>
        <w:rPr>
          <w:rFonts w:ascii="Arial" w:hAnsi="Arial" w:cs="Arial"/>
          <w:sz w:val="20"/>
          <w:szCs w:val="20"/>
        </w:rPr>
        <w:t>,</w:t>
      </w:r>
    </w:p>
    <w:p w14:paraId="77250BAE" w14:textId="77777777" w:rsidR="00F54D4F" w:rsidRPr="00CE082D" w:rsidRDefault="00F54D4F" w:rsidP="00F54D4F">
      <w:pPr>
        <w:pStyle w:val="ListParagraph"/>
        <w:numPr>
          <w:ilvl w:val="0"/>
          <w:numId w:val="9"/>
        </w:numPr>
        <w:jc w:val="both"/>
        <w:rPr>
          <w:rFonts w:ascii="Arial" w:hAnsi="Arial" w:cs="Arial"/>
          <w:sz w:val="20"/>
          <w:szCs w:val="20"/>
        </w:rPr>
      </w:pPr>
      <w:r w:rsidRPr="00CE082D">
        <w:rPr>
          <w:rFonts w:ascii="Arial" w:hAnsi="Arial" w:cs="Arial"/>
          <w:sz w:val="20"/>
          <w:szCs w:val="20"/>
        </w:rPr>
        <w:t xml:space="preserve">where applicable, </w:t>
      </w:r>
      <w:r>
        <w:rPr>
          <w:rFonts w:ascii="Arial" w:hAnsi="Arial" w:cs="Arial"/>
          <w:sz w:val="20"/>
          <w:szCs w:val="20"/>
        </w:rPr>
        <w:t xml:space="preserve">hydrogeological system-specific </w:t>
      </w:r>
      <w:r w:rsidRPr="00CE082D">
        <w:rPr>
          <w:rFonts w:ascii="Arial" w:hAnsi="Arial" w:cs="Arial"/>
          <w:sz w:val="20"/>
          <w:szCs w:val="20"/>
        </w:rPr>
        <w:t>reference to the representative volcanic facies model (volc_model)</w:t>
      </w:r>
      <w:r>
        <w:rPr>
          <w:rFonts w:ascii="Arial" w:hAnsi="Arial" w:cs="Arial"/>
          <w:sz w:val="20"/>
          <w:szCs w:val="20"/>
        </w:rPr>
        <w:t>,</w:t>
      </w:r>
    </w:p>
    <w:p w14:paraId="633E0D77"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w</w:t>
      </w:r>
      <w:r w:rsidRPr="00CE082D">
        <w:rPr>
          <w:rFonts w:ascii="Arial" w:hAnsi="Arial" w:cs="Arial"/>
          <w:sz w:val="20"/>
          <w:szCs w:val="20"/>
        </w:rPr>
        <w:t xml:space="preserve">here applicable, </w:t>
      </w:r>
      <w:r>
        <w:rPr>
          <w:rFonts w:ascii="Arial" w:hAnsi="Arial" w:cs="Arial"/>
          <w:sz w:val="20"/>
          <w:szCs w:val="20"/>
        </w:rPr>
        <w:t xml:space="preserve">hydrogeological system-specific </w:t>
      </w:r>
      <w:r w:rsidRPr="00CE082D">
        <w:rPr>
          <w:rFonts w:ascii="Arial" w:hAnsi="Arial" w:cs="Arial"/>
          <w:sz w:val="20"/>
          <w:szCs w:val="20"/>
        </w:rPr>
        <w:t>reference to the representative</w:t>
      </w:r>
      <w:r>
        <w:rPr>
          <w:rFonts w:ascii="Arial" w:hAnsi="Arial" w:cs="Arial"/>
          <w:sz w:val="20"/>
          <w:szCs w:val="20"/>
        </w:rPr>
        <w:t xml:space="preserve"> </w:t>
      </w:r>
      <w:r w:rsidRPr="00CE082D">
        <w:rPr>
          <w:rFonts w:ascii="Arial" w:hAnsi="Arial" w:cs="Arial"/>
          <w:sz w:val="20"/>
          <w:szCs w:val="20"/>
        </w:rPr>
        <w:t>sedimentary facies model (sed_model)</w:t>
      </w:r>
      <w:r>
        <w:rPr>
          <w:rFonts w:ascii="Arial" w:hAnsi="Arial" w:cs="Arial"/>
          <w:sz w:val="20"/>
          <w:szCs w:val="20"/>
        </w:rPr>
        <w:t>,</w:t>
      </w:r>
    </w:p>
    <w:p w14:paraId="5E9786CA"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 xml:space="preserve">polygon-specific </w:t>
      </w:r>
      <w:r w:rsidRPr="00CE082D">
        <w:rPr>
          <w:rFonts w:ascii="Arial" w:hAnsi="Arial" w:cs="Arial"/>
          <w:sz w:val="20"/>
          <w:szCs w:val="20"/>
        </w:rPr>
        <w:t>outcrop indicator (outcrop)</w:t>
      </w:r>
      <w:r>
        <w:rPr>
          <w:rFonts w:ascii="Arial" w:hAnsi="Arial" w:cs="Arial"/>
          <w:sz w:val="20"/>
          <w:szCs w:val="20"/>
        </w:rPr>
        <w:t>,</w:t>
      </w:r>
    </w:p>
    <w:p w14:paraId="761AD72F" w14:textId="77777777" w:rsidR="00F54D4F" w:rsidRPr="00CE082D" w:rsidRDefault="00F54D4F" w:rsidP="00F54D4F">
      <w:pPr>
        <w:pStyle w:val="ListParagraph"/>
        <w:numPr>
          <w:ilvl w:val="0"/>
          <w:numId w:val="9"/>
        </w:numPr>
        <w:jc w:val="both"/>
        <w:rPr>
          <w:rFonts w:ascii="Arial" w:hAnsi="Arial" w:cs="Arial"/>
          <w:sz w:val="20"/>
          <w:szCs w:val="20"/>
        </w:rPr>
      </w:pPr>
      <w:r>
        <w:rPr>
          <w:rFonts w:ascii="Arial" w:hAnsi="Arial" w:cs="Arial"/>
          <w:sz w:val="20"/>
          <w:szCs w:val="20"/>
        </w:rPr>
        <w:t>polygon-specific v</w:t>
      </w:r>
      <w:r w:rsidRPr="00CE082D">
        <w:rPr>
          <w:rFonts w:ascii="Arial" w:hAnsi="Arial" w:cs="Arial"/>
          <w:sz w:val="20"/>
          <w:szCs w:val="20"/>
        </w:rPr>
        <w:t>ertical sequence order, from younger to older unit (order)</w:t>
      </w:r>
      <w:r>
        <w:rPr>
          <w:rFonts w:ascii="Arial" w:hAnsi="Arial" w:cs="Arial"/>
          <w:sz w:val="20"/>
          <w:szCs w:val="20"/>
        </w:rPr>
        <w:t>,</w:t>
      </w:r>
    </w:p>
    <w:p w14:paraId="7EBE242D" w14:textId="77777777" w:rsidR="00F54D4F" w:rsidRPr="005F54A6" w:rsidRDefault="00F54D4F" w:rsidP="00F54D4F">
      <w:pPr>
        <w:pStyle w:val="ListParagraph"/>
        <w:numPr>
          <w:ilvl w:val="0"/>
          <w:numId w:val="9"/>
        </w:numPr>
        <w:jc w:val="both"/>
        <w:rPr>
          <w:rFonts w:ascii="Arial" w:hAnsi="Arial" w:cs="Arial"/>
          <w:sz w:val="20"/>
          <w:szCs w:val="20"/>
        </w:rPr>
      </w:pPr>
      <w:r w:rsidRPr="005F54A6">
        <w:rPr>
          <w:rFonts w:ascii="Arial" w:hAnsi="Arial" w:cs="Arial"/>
          <w:sz w:val="20"/>
          <w:szCs w:val="20"/>
        </w:rPr>
        <w:t>unique polygon id (poly_ID).</w:t>
      </w:r>
    </w:p>
    <w:p w14:paraId="2057CE86" w14:textId="7118EA04" w:rsidR="00985F77" w:rsidRDefault="001F0D8C" w:rsidP="00D3635E">
      <w:pPr>
        <w:jc w:val="both"/>
        <w:rPr>
          <w:rFonts w:ascii="Arial" w:hAnsi="Arial" w:cs="Arial"/>
          <w:sz w:val="20"/>
          <w:szCs w:val="20"/>
        </w:rPr>
      </w:pPr>
      <w:r w:rsidRPr="001F0D8C">
        <w:rPr>
          <w:rFonts w:ascii="Arial" w:hAnsi="Arial" w:cs="Arial"/>
          <w:sz w:val="20"/>
          <w:szCs w:val="20"/>
        </w:rPr>
        <w:t>Thi</w:t>
      </w:r>
      <w:r w:rsidR="00092BA9">
        <w:rPr>
          <w:rFonts w:ascii="Arial" w:hAnsi="Arial" w:cs="Arial"/>
          <w:sz w:val="20"/>
          <w:szCs w:val="20"/>
        </w:rPr>
        <w:t>s release</w:t>
      </w:r>
      <w:r w:rsidRPr="001F0D8C">
        <w:rPr>
          <w:rFonts w:ascii="Arial" w:hAnsi="Arial" w:cs="Arial"/>
          <w:sz w:val="20"/>
          <w:szCs w:val="20"/>
        </w:rPr>
        <w:t xml:space="preserve"> </w:t>
      </w:r>
      <w:r w:rsidR="003601E1">
        <w:rPr>
          <w:rFonts w:ascii="Arial" w:hAnsi="Arial" w:cs="Arial"/>
          <w:sz w:val="20"/>
          <w:szCs w:val="20"/>
        </w:rPr>
        <w:t>includes</w:t>
      </w:r>
      <w:r w:rsidRPr="001F0D8C">
        <w:rPr>
          <w:rFonts w:ascii="Arial" w:hAnsi="Arial" w:cs="Arial"/>
          <w:sz w:val="20"/>
          <w:szCs w:val="20"/>
        </w:rPr>
        <w:t xml:space="preserve"> </w:t>
      </w:r>
      <w:r w:rsidR="005F54A6">
        <w:rPr>
          <w:rFonts w:ascii="Arial" w:hAnsi="Arial" w:cs="Arial"/>
          <w:sz w:val="20"/>
          <w:szCs w:val="20"/>
        </w:rPr>
        <w:t xml:space="preserve">minor fixes and </w:t>
      </w:r>
      <w:r w:rsidR="003601E1">
        <w:rPr>
          <w:rFonts w:ascii="Arial" w:hAnsi="Arial" w:cs="Arial"/>
          <w:sz w:val="20"/>
          <w:szCs w:val="20"/>
        </w:rPr>
        <w:t>new polygons to fill the gap</w:t>
      </w:r>
      <w:r w:rsidR="005F54A6">
        <w:rPr>
          <w:rFonts w:ascii="Arial" w:hAnsi="Arial" w:cs="Arial"/>
          <w:sz w:val="20"/>
          <w:szCs w:val="20"/>
        </w:rPr>
        <w:t xml:space="preserve"> between t</w:t>
      </w:r>
      <w:r w:rsidR="003601E1">
        <w:rPr>
          <w:rFonts w:ascii="Arial" w:hAnsi="Arial" w:cs="Arial"/>
          <w:sz w:val="20"/>
          <w:szCs w:val="20"/>
        </w:rPr>
        <w:t xml:space="preserve">he </w:t>
      </w:r>
      <w:r w:rsidR="00316C03">
        <w:rPr>
          <w:rFonts w:ascii="Arial" w:hAnsi="Arial" w:cs="Arial"/>
          <w:sz w:val="20"/>
          <w:szCs w:val="20"/>
        </w:rPr>
        <w:t>Clutha</w:t>
      </w:r>
      <w:r w:rsidR="005F54A6">
        <w:rPr>
          <w:rFonts w:ascii="Arial" w:hAnsi="Arial" w:cs="Arial"/>
          <w:sz w:val="20"/>
          <w:szCs w:val="20"/>
        </w:rPr>
        <w:t>, Taieri</w:t>
      </w:r>
      <w:r w:rsidR="00316C03">
        <w:rPr>
          <w:rFonts w:ascii="Arial" w:hAnsi="Arial" w:cs="Arial"/>
          <w:sz w:val="20"/>
          <w:szCs w:val="20"/>
        </w:rPr>
        <w:t xml:space="preserve"> and Waikato rivers</w:t>
      </w:r>
      <w:r w:rsidR="005F54A6">
        <w:rPr>
          <w:rFonts w:ascii="Arial" w:hAnsi="Arial" w:cs="Arial"/>
          <w:sz w:val="20"/>
          <w:szCs w:val="20"/>
        </w:rPr>
        <w:t xml:space="preserve"> polygons and the shoreline</w:t>
      </w:r>
      <w:r w:rsidR="003601E1">
        <w:rPr>
          <w:rFonts w:ascii="Arial" w:hAnsi="Arial" w:cs="Arial"/>
          <w:sz w:val="20"/>
          <w:szCs w:val="20"/>
        </w:rPr>
        <w:t>.</w:t>
      </w:r>
      <w:r w:rsidRPr="001F0D8C">
        <w:rPr>
          <w:rFonts w:ascii="Arial" w:hAnsi="Arial" w:cs="Arial"/>
          <w:sz w:val="20"/>
          <w:szCs w:val="20"/>
        </w:rPr>
        <w:t xml:space="preserve"> This </w:t>
      </w:r>
      <w:r w:rsidRPr="005F54A6">
        <w:rPr>
          <w:rFonts w:ascii="Arial" w:hAnsi="Arial" w:cs="Arial"/>
          <w:sz w:val="20"/>
          <w:szCs w:val="20"/>
        </w:rPr>
        <w:t xml:space="preserve">version supersedes the </w:t>
      </w:r>
      <w:r w:rsidR="003601E1" w:rsidRPr="005F54A6">
        <w:rPr>
          <w:rFonts w:ascii="Arial" w:hAnsi="Arial" w:cs="Arial"/>
          <w:sz w:val="20"/>
          <w:szCs w:val="20"/>
        </w:rPr>
        <w:t>January</w:t>
      </w:r>
      <w:r w:rsidR="00D3635E" w:rsidRPr="005F54A6">
        <w:rPr>
          <w:rFonts w:ascii="Arial" w:hAnsi="Arial" w:cs="Arial"/>
          <w:sz w:val="20"/>
          <w:szCs w:val="20"/>
        </w:rPr>
        <w:t xml:space="preserve"> </w:t>
      </w:r>
      <w:r w:rsidR="00F54D4F" w:rsidRPr="005F54A6">
        <w:rPr>
          <w:rFonts w:ascii="Arial" w:hAnsi="Arial" w:cs="Arial"/>
          <w:sz w:val="20"/>
          <w:szCs w:val="20"/>
        </w:rPr>
        <w:t>202</w:t>
      </w:r>
      <w:r w:rsidR="003601E1" w:rsidRPr="005F54A6">
        <w:rPr>
          <w:rFonts w:ascii="Arial" w:hAnsi="Arial" w:cs="Arial"/>
          <w:sz w:val="20"/>
          <w:szCs w:val="20"/>
        </w:rPr>
        <w:t>6</w:t>
      </w:r>
      <w:r w:rsidRPr="005F54A6">
        <w:rPr>
          <w:rFonts w:ascii="Arial" w:hAnsi="Arial" w:cs="Arial"/>
          <w:sz w:val="20"/>
          <w:szCs w:val="20"/>
        </w:rPr>
        <w:t xml:space="preserve"> version </w:t>
      </w:r>
      <w:r w:rsidR="00D65EEF" w:rsidRPr="005F54A6">
        <w:rPr>
          <w:rFonts w:ascii="Arial" w:hAnsi="Arial" w:cs="Arial"/>
          <w:sz w:val="20"/>
          <w:szCs w:val="20"/>
        </w:rPr>
        <w:t>(White</w:t>
      </w:r>
      <w:r w:rsidR="00D65EEF">
        <w:rPr>
          <w:rFonts w:ascii="Arial" w:hAnsi="Arial" w:cs="Arial"/>
          <w:sz w:val="20"/>
          <w:szCs w:val="20"/>
        </w:rPr>
        <w:t xml:space="preserve"> et al</w:t>
      </w:r>
      <w:r w:rsidR="00985F77" w:rsidRPr="00BE40E0">
        <w:rPr>
          <w:rFonts w:ascii="Arial" w:hAnsi="Arial" w:cs="Arial"/>
          <w:sz w:val="20"/>
          <w:szCs w:val="20"/>
        </w:rPr>
        <w:t>.</w:t>
      </w:r>
      <w:r w:rsidR="00985F77">
        <w:rPr>
          <w:rFonts w:ascii="Arial" w:hAnsi="Arial" w:cs="Arial"/>
          <w:sz w:val="20"/>
          <w:szCs w:val="20"/>
        </w:rPr>
        <w:t xml:space="preserve"> </w:t>
      </w:r>
      <w:r w:rsidR="00D65EEF">
        <w:rPr>
          <w:rFonts w:ascii="Arial" w:hAnsi="Arial" w:cs="Arial"/>
          <w:sz w:val="20"/>
          <w:szCs w:val="20"/>
        </w:rPr>
        <w:t>2019)</w:t>
      </w:r>
      <w:r w:rsidR="00092BA9">
        <w:rPr>
          <w:rFonts w:ascii="Arial" w:hAnsi="Arial" w:cs="Arial"/>
          <w:sz w:val="20"/>
          <w:szCs w:val="20"/>
        </w:rPr>
        <w:t>.</w:t>
      </w:r>
    </w:p>
    <w:p w14:paraId="79B582F5" w14:textId="77777777" w:rsidR="00455388" w:rsidRDefault="00455388" w:rsidP="00455388">
      <w:pPr>
        <w:spacing w:after="120" w:line="240" w:lineRule="auto"/>
        <w:rPr>
          <w:rFonts w:ascii="Arial" w:hAnsi="Arial" w:cs="Arial"/>
          <w:sz w:val="20"/>
          <w:szCs w:val="20"/>
        </w:rPr>
      </w:pPr>
      <w:r>
        <w:rPr>
          <w:rFonts w:ascii="Arial" w:hAnsi="Arial" w:cs="Arial"/>
          <w:sz w:val="20"/>
          <w:szCs w:val="20"/>
        </w:rPr>
        <w:t>This dataset was initially prepared for the Ministry for the Environment (White et al. 2019) and is now developed by GNS as part of the Groundwater Strategic Science Investment Funds programme.</w:t>
      </w:r>
    </w:p>
    <w:bookmarkEnd w:id="1"/>
    <w:bookmarkEnd w:id="2"/>
    <w:bookmarkEnd w:id="3"/>
    <w:p w14:paraId="3855D190" w14:textId="7CB103C4" w:rsidR="004C0662" w:rsidRPr="002D3B8F" w:rsidRDefault="004C0662" w:rsidP="004C0662">
      <w:pPr>
        <w:rPr>
          <w:rFonts w:ascii="Arial" w:hAnsi="Arial" w:cs="Arial"/>
          <w:b/>
          <w:bCs/>
          <w:sz w:val="20"/>
          <w:szCs w:val="20"/>
        </w:rPr>
      </w:pPr>
      <w:r w:rsidRPr="002D3B8F">
        <w:rPr>
          <w:rFonts w:ascii="Arial" w:hAnsi="Arial" w:cs="Arial"/>
          <w:b/>
          <w:bCs/>
          <w:sz w:val="20"/>
          <w:szCs w:val="20"/>
        </w:rPr>
        <w:t>R</w:t>
      </w:r>
      <w:r w:rsidR="0051712E" w:rsidRPr="002D3B8F">
        <w:rPr>
          <w:rFonts w:ascii="Arial" w:hAnsi="Arial" w:cs="Arial"/>
          <w:b/>
          <w:bCs/>
          <w:sz w:val="20"/>
          <w:szCs w:val="20"/>
        </w:rPr>
        <w:t>elease notes</w:t>
      </w:r>
    </w:p>
    <w:p w14:paraId="02FC9763" w14:textId="78A69560" w:rsidR="00CF2AE4" w:rsidRPr="00535F8E" w:rsidRDefault="00CF2AE4" w:rsidP="00CF2AE4">
      <w:pPr>
        <w:jc w:val="both"/>
        <w:rPr>
          <w:rFonts w:ascii="Arial" w:hAnsi="Arial" w:cs="Arial"/>
          <w:sz w:val="20"/>
          <w:szCs w:val="20"/>
        </w:rPr>
      </w:pPr>
      <w:bookmarkStart w:id="4" w:name="_Hlk118265912"/>
      <w:r>
        <w:rPr>
          <w:rFonts w:ascii="Arial" w:hAnsi="Arial" w:cs="Arial"/>
          <w:sz w:val="20"/>
          <w:szCs w:val="20"/>
        </w:rPr>
        <w:t xml:space="preserve">Minor fixes: </w:t>
      </w:r>
      <w:r w:rsidR="00FF7615">
        <w:rPr>
          <w:rFonts w:ascii="Arial" w:hAnsi="Arial" w:cs="Arial"/>
          <w:sz w:val="20"/>
          <w:szCs w:val="20"/>
        </w:rPr>
        <w:t>T</w:t>
      </w:r>
      <w:r w:rsidR="000C52B6">
        <w:rPr>
          <w:rFonts w:ascii="Arial" w:hAnsi="Arial" w:cs="Arial"/>
          <w:sz w:val="20"/>
          <w:szCs w:val="20"/>
        </w:rPr>
        <w:t xml:space="preserve">he outcrop attributes of </w:t>
      </w:r>
      <w:r w:rsidR="00FF2A84">
        <w:rPr>
          <w:rFonts w:ascii="Arial" w:hAnsi="Arial" w:cs="Arial"/>
          <w:sz w:val="20"/>
          <w:szCs w:val="20"/>
        </w:rPr>
        <w:t xml:space="preserve">multiple overlapping polygons </w:t>
      </w:r>
      <w:r w:rsidR="000C52B6">
        <w:rPr>
          <w:rFonts w:ascii="Arial" w:hAnsi="Arial" w:cs="Arial"/>
          <w:sz w:val="20"/>
          <w:szCs w:val="20"/>
        </w:rPr>
        <w:t xml:space="preserve">were </w:t>
      </w:r>
      <w:r>
        <w:rPr>
          <w:rFonts w:ascii="Arial" w:hAnsi="Arial" w:cs="Arial"/>
          <w:sz w:val="20"/>
          <w:szCs w:val="20"/>
        </w:rPr>
        <w:t>edited</w:t>
      </w:r>
      <w:r w:rsidR="000C52B6">
        <w:rPr>
          <w:rFonts w:ascii="Arial" w:hAnsi="Arial" w:cs="Arial"/>
          <w:sz w:val="20"/>
          <w:szCs w:val="20"/>
        </w:rPr>
        <w:t xml:space="preserve"> to ensure that</w:t>
      </w:r>
      <w:r>
        <w:rPr>
          <w:rFonts w:ascii="Arial" w:hAnsi="Arial" w:cs="Arial"/>
          <w:sz w:val="20"/>
          <w:szCs w:val="20"/>
        </w:rPr>
        <w:t xml:space="preserve"> only reflect the </w:t>
      </w:r>
      <w:r w:rsidR="000C52B6">
        <w:rPr>
          <w:rFonts w:ascii="Arial" w:hAnsi="Arial" w:cs="Arial"/>
          <w:sz w:val="20"/>
          <w:szCs w:val="20"/>
        </w:rPr>
        <w:t xml:space="preserve">HUM unit </w:t>
      </w:r>
      <w:r>
        <w:rPr>
          <w:rFonts w:ascii="Arial" w:hAnsi="Arial" w:cs="Arial"/>
          <w:sz w:val="20"/>
          <w:szCs w:val="20"/>
        </w:rPr>
        <w:t xml:space="preserve">shown on QMAP </w:t>
      </w:r>
      <w:r w:rsidR="000C52B6">
        <w:rPr>
          <w:rFonts w:ascii="Arial" w:hAnsi="Arial" w:cs="Arial"/>
          <w:sz w:val="20"/>
          <w:szCs w:val="20"/>
        </w:rPr>
        <w:t xml:space="preserve">was attributed an </w:t>
      </w:r>
      <w:r>
        <w:rPr>
          <w:rFonts w:ascii="Arial" w:hAnsi="Arial" w:cs="Arial"/>
          <w:sz w:val="20"/>
          <w:szCs w:val="20"/>
        </w:rPr>
        <w:t>outcrop</w:t>
      </w:r>
      <w:r w:rsidR="000C52B6">
        <w:rPr>
          <w:rFonts w:ascii="Arial" w:hAnsi="Arial" w:cs="Arial"/>
          <w:sz w:val="20"/>
          <w:szCs w:val="20"/>
        </w:rPr>
        <w:t xml:space="preserve"> value of 1</w:t>
      </w:r>
      <w:r w:rsidR="00FF7615" w:rsidRPr="00FF7615">
        <w:rPr>
          <w:rFonts w:ascii="Arial" w:hAnsi="Arial" w:cs="Arial"/>
          <w:sz w:val="20"/>
          <w:szCs w:val="20"/>
        </w:rPr>
        <w:t xml:space="preserve"> </w:t>
      </w:r>
      <w:r w:rsidR="00FF7615">
        <w:rPr>
          <w:rFonts w:ascii="Arial" w:hAnsi="Arial" w:cs="Arial"/>
          <w:sz w:val="20"/>
          <w:szCs w:val="20"/>
        </w:rPr>
        <w:t xml:space="preserve">in the Reefton </w:t>
      </w:r>
      <w:r w:rsidR="00FF7615">
        <w:rPr>
          <w:rFonts w:ascii="Arial" w:hAnsi="Arial" w:cs="Arial"/>
          <w:sz w:val="20"/>
          <w:szCs w:val="20"/>
        </w:rPr>
        <w:t xml:space="preserve">and Dunedin </w:t>
      </w:r>
      <w:r w:rsidR="00FF7615">
        <w:rPr>
          <w:rFonts w:ascii="Arial" w:hAnsi="Arial" w:cs="Arial"/>
          <w:sz w:val="20"/>
          <w:szCs w:val="20"/>
        </w:rPr>
        <w:t>area</w:t>
      </w:r>
      <w:r w:rsidR="00FF7615">
        <w:rPr>
          <w:rFonts w:ascii="Arial" w:hAnsi="Arial" w:cs="Arial"/>
          <w:sz w:val="20"/>
          <w:szCs w:val="20"/>
        </w:rPr>
        <w:t>s.</w:t>
      </w:r>
    </w:p>
    <w:p w14:paraId="68EE8BBC" w14:textId="07565097" w:rsidR="00FF2A84" w:rsidRDefault="003B73EA" w:rsidP="00455388">
      <w:pPr>
        <w:jc w:val="both"/>
        <w:rPr>
          <w:rFonts w:ascii="Arial" w:hAnsi="Arial" w:cs="Arial"/>
          <w:sz w:val="20"/>
          <w:szCs w:val="20"/>
        </w:rPr>
      </w:pPr>
      <w:r>
        <w:rPr>
          <w:rFonts w:ascii="Arial" w:hAnsi="Arial" w:cs="Arial"/>
          <w:sz w:val="20"/>
          <w:szCs w:val="20"/>
        </w:rPr>
        <w:t>M</w:t>
      </w:r>
      <w:r w:rsidR="00455388">
        <w:rPr>
          <w:rFonts w:ascii="Arial" w:hAnsi="Arial" w:cs="Arial"/>
          <w:sz w:val="20"/>
          <w:szCs w:val="20"/>
        </w:rPr>
        <w:t>inor m</w:t>
      </w:r>
      <w:r>
        <w:rPr>
          <w:rFonts w:ascii="Arial" w:hAnsi="Arial" w:cs="Arial"/>
          <w:sz w:val="20"/>
          <w:szCs w:val="20"/>
        </w:rPr>
        <w:t>odifications</w:t>
      </w:r>
      <w:r w:rsidR="00455388">
        <w:rPr>
          <w:rFonts w:ascii="Arial" w:hAnsi="Arial" w:cs="Arial"/>
          <w:sz w:val="20"/>
          <w:szCs w:val="20"/>
        </w:rPr>
        <w:t>:</w:t>
      </w:r>
      <w:r w:rsidRPr="006217BD">
        <w:rPr>
          <w:rFonts w:ascii="Arial" w:hAnsi="Arial" w:cs="Arial"/>
          <w:sz w:val="20"/>
          <w:szCs w:val="20"/>
        </w:rPr>
        <w:t xml:space="preserve"> </w:t>
      </w:r>
      <w:r w:rsidR="00316C03">
        <w:rPr>
          <w:rFonts w:ascii="Arial" w:hAnsi="Arial" w:cs="Arial"/>
          <w:sz w:val="20"/>
          <w:szCs w:val="20"/>
        </w:rPr>
        <w:t xml:space="preserve">HUM polygons were created </w:t>
      </w:r>
      <w:r w:rsidR="00FF2A84">
        <w:rPr>
          <w:rFonts w:ascii="Arial" w:hAnsi="Arial" w:cs="Arial"/>
          <w:sz w:val="20"/>
          <w:szCs w:val="20"/>
        </w:rPr>
        <w:t>to fill selected inland river polygons connected to the sea. There modifications applied to: the Waikato River between Hamilton and Tauranganui; the Clutha River between Roxburgh and Balclutha, and the Taieri River between Lake Waihola and Taieri Mouth.</w:t>
      </w:r>
    </w:p>
    <w:p w14:paraId="0A338E5B" w14:textId="77777777" w:rsidR="000C52B6" w:rsidRDefault="000C52B6" w:rsidP="0051712E">
      <w:pPr>
        <w:rPr>
          <w:rFonts w:ascii="Arial" w:hAnsi="Arial" w:cs="Arial"/>
          <w:b/>
          <w:bCs/>
          <w:sz w:val="20"/>
          <w:szCs w:val="20"/>
        </w:rPr>
      </w:pPr>
      <w:bookmarkStart w:id="5" w:name="_Toc5723443"/>
      <w:bookmarkStart w:id="6" w:name="_Toc11656475"/>
      <w:bookmarkEnd w:id="4"/>
    </w:p>
    <w:p w14:paraId="60C155B3" w14:textId="77777777" w:rsidR="000C52B6" w:rsidRDefault="000C52B6" w:rsidP="0051712E">
      <w:pPr>
        <w:rPr>
          <w:rFonts w:ascii="Arial" w:hAnsi="Arial" w:cs="Arial"/>
          <w:b/>
          <w:bCs/>
          <w:sz w:val="20"/>
          <w:szCs w:val="20"/>
        </w:rPr>
      </w:pPr>
    </w:p>
    <w:p w14:paraId="5B258802" w14:textId="76E8EC62" w:rsidR="004C0662" w:rsidRPr="002D3B8F" w:rsidRDefault="004C0662" w:rsidP="0051712E">
      <w:pPr>
        <w:rPr>
          <w:rFonts w:ascii="Arial" w:hAnsi="Arial" w:cs="Arial"/>
          <w:b/>
          <w:bCs/>
          <w:sz w:val="20"/>
          <w:szCs w:val="20"/>
        </w:rPr>
      </w:pPr>
      <w:r w:rsidRPr="002D3B8F">
        <w:rPr>
          <w:rFonts w:ascii="Arial" w:hAnsi="Arial" w:cs="Arial"/>
          <w:b/>
          <w:bCs/>
          <w:sz w:val="20"/>
          <w:szCs w:val="20"/>
        </w:rPr>
        <w:t>License</w:t>
      </w:r>
      <w:bookmarkEnd w:id="5"/>
      <w:bookmarkEnd w:id="6"/>
    </w:p>
    <w:p w14:paraId="60A3D0EA" w14:textId="0AD6E2B1"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4C0662" w:rsidRPr="002D3B8F">
        <w:rPr>
          <w:rFonts w:ascii="Arial" w:hAnsi="Arial" w:cs="Arial"/>
          <w:sz w:val="20"/>
          <w:szCs w:val="20"/>
        </w:rPr>
        <w:t xml:space="preserve">Use of the datasets is licensed under a Creative Commons Attribution 4.0 International (CC BY 4.0) Licence. You are free to share and adapt the datasets for any purpose provided you give appropriate credit, a link to the license, and note the changes that were made. For more details visit </w:t>
      </w:r>
      <w:hyperlink r:id="rId5" w:tgtFrame="_self" w:history="1">
        <w:r w:rsidR="004C0662" w:rsidRPr="002D3B8F">
          <w:rPr>
            <w:rFonts w:ascii="Arial" w:hAnsi="Arial" w:cs="Arial"/>
            <w:sz w:val="20"/>
            <w:szCs w:val="20"/>
          </w:rPr>
          <w:t>http://creativecommons.org/licenses/by/4.0/</w:t>
        </w:r>
      </w:hyperlink>
      <w:r w:rsidR="004C0662" w:rsidRPr="002D3B8F">
        <w:rPr>
          <w:rFonts w:ascii="Arial" w:hAnsi="Arial" w:cs="Arial"/>
          <w:sz w:val="20"/>
          <w:szCs w:val="20"/>
        </w:rPr>
        <w:t xml:space="preserve">. Where the datasets are used in a figure, GNS Science requests attribution in the following manner: © GNS </w:t>
      </w:r>
      <w:r w:rsidR="004C0662" w:rsidRPr="00BC252F">
        <w:rPr>
          <w:rFonts w:ascii="Arial" w:hAnsi="Arial" w:cs="Arial"/>
          <w:sz w:val="20"/>
          <w:szCs w:val="20"/>
        </w:rPr>
        <w:t>Science 20</w:t>
      </w:r>
      <w:r w:rsidR="0051712E" w:rsidRPr="00BC252F">
        <w:rPr>
          <w:rFonts w:ascii="Arial" w:hAnsi="Arial" w:cs="Arial"/>
          <w:sz w:val="20"/>
          <w:szCs w:val="20"/>
        </w:rPr>
        <w:t>2</w:t>
      </w:r>
      <w:r w:rsidR="00455388">
        <w:rPr>
          <w:rFonts w:ascii="Arial" w:hAnsi="Arial" w:cs="Arial"/>
          <w:sz w:val="20"/>
          <w:szCs w:val="20"/>
        </w:rPr>
        <w:t>6</w:t>
      </w:r>
      <w:r w:rsidR="004C0662" w:rsidRPr="00BC252F">
        <w:rPr>
          <w:rFonts w:ascii="Arial" w:hAnsi="Arial" w:cs="Arial"/>
          <w:sz w:val="20"/>
          <w:szCs w:val="20"/>
        </w:rPr>
        <w:t>.</w:t>
      </w:r>
      <w:bookmarkStart w:id="7" w:name="_Toc5723442"/>
      <w:bookmarkStart w:id="8" w:name="_Toc11656474"/>
    </w:p>
    <w:p w14:paraId="40C55DE9" w14:textId="60741704" w:rsidR="0051712E" w:rsidRPr="002D3B8F" w:rsidRDefault="0051712E" w:rsidP="0051712E">
      <w:pPr>
        <w:rPr>
          <w:rFonts w:ascii="Arial" w:hAnsi="Arial" w:cs="Arial"/>
          <w:b/>
          <w:bCs/>
          <w:sz w:val="20"/>
          <w:szCs w:val="20"/>
        </w:rPr>
      </w:pPr>
      <w:r w:rsidRPr="002D3B8F">
        <w:rPr>
          <w:rFonts w:ascii="Arial" w:hAnsi="Arial" w:cs="Arial"/>
          <w:b/>
          <w:bCs/>
          <w:sz w:val="20"/>
          <w:szCs w:val="20"/>
        </w:rPr>
        <w:t>Disclaimer</w:t>
      </w:r>
      <w:bookmarkEnd w:id="7"/>
      <w:bookmarkEnd w:id="8"/>
    </w:p>
    <w:p w14:paraId="6EB09712" w14:textId="72CC5C0A"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In compiling the datasets, inferences and assumptions have been made about hydrogeological systems at a regional scale (i.e., 1:250,000). At the time of publishing, no validations using actual observations have been made (e.g., yield, aquifer properties, etc.), and the datasets do not include any information regarding the sustainability of a hydrogeological system (e.g., recharge/discharge areas, water balance, etc.). Experience and an appreciation of the limitations of the datasets is needed by persons using the datasets as an element in their decision making over access to and use of groundwater resources. In addition, the datasets should be treated with caution for detailed studies at map scales of less than 1:250,000.</w:t>
      </w:r>
    </w:p>
    <w:p w14:paraId="07A08F2B" w14:textId="77777777" w:rsidR="0051712E" w:rsidRPr="002D3B8F" w:rsidRDefault="0051712E" w:rsidP="002D7229">
      <w:pPr>
        <w:jc w:val="both"/>
        <w:rPr>
          <w:rFonts w:ascii="Arial" w:hAnsi="Arial" w:cs="Arial"/>
          <w:sz w:val="20"/>
          <w:szCs w:val="20"/>
        </w:rPr>
      </w:pPr>
      <w:r w:rsidRPr="002D3B8F">
        <w:rPr>
          <w:rFonts w:ascii="Arial" w:hAnsi="Arial" w:cs="Arial"/>
          <w:sz w:val="20"/>
          <w:szCs w:val="20"/>
        </w:rPr>
        <w:t xml:space="preserve">The data user acknowledges that neither GNS Science nor any of its representatives has made or makes any representation or warranty, expressed or implied, as to the accuracy or completeness of the datasets or the accompanying report. GNS Science accepts no responsibility for any use or reliance on the datasets and shall not be liable to any person, on any ground, for any loss, damage or expense arising from such use or reliance.  </w:t>
      </w:r>
    </w:p>
    <w:p w14:paraId="35A12164" w14:textId="77777777" w:rsidR="0051712E" w:rsidRPr="002D3B8F" w:rsidRDefault="0051712E" w:rsidP="002D7229">
      <w:pPr>
        <w:jc w:val="both"/>
        <w:rPr>
          <w:rFonts w:ascii="Arial" w:hAnsi="Arial" w:cs="Arial"/>
          <w:sz w:val="20"/>
          <w:szCs w:val="20"/>
        </w:rPr>
      </w:pPr>
      <w:r w:rsidRPr="002D3B8F">
        <w:rPr>
          <w:rFonts w:ascii="Arial" w:hAnsi="Arial" w:cs="Arial"/>
          <w:sz w:val="20"/>
          <w:szCs w:val="20"/>
        </w:rPr>
        <w:t>If the data user makes the datasets available to any third party, the data user indemnifies and holds harmless GNS Science for any event arising from such use or supply.</w:t>
      </w:r>
    </w:p>
    <w:p w14:paraId="018AB8B9" w14:textId="77777777" w:rsidR="0051712E" w:rsidRPr="002D3B8F" w:rsidRDefault="0051712E" w:rsidP="002D7229">
      <w:pPr>
        <w:jc w:val="both"/>
        <w:rPr>
          <w:rFonts w:ascii="Arial" w:hAnsi="Arial" w:cs="Arial"/>
          <w:sz w:val="20"/>
          <w:szCs w:val="20"/>
        </w:rPr>
      </w:pPr>
      <w:r w:rsidRPr="002D3B8F">
        <w:rPr>
          <w:rFonts w:ascii="Arial" w:hAnsi="Arial" w:cs="Arial"/>
          <w:sz w:val="20"/>
          <w:szCs w:val="20"/>
        </w:rPr>
        <w:t xml:space="preserve">Any party using or relying on the datasets will be regarded as having accepted the terms of this disclaimer. </w:t>
      </w:r>
    </w:p>
    <w:p w14:paraId="19396FE0"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Update frequency</w:t>
      </w:r>
    </w:p>
    <w:p w14:paraId="4B859F31" w14:textId="2E7A4AE4"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 xml:space="preserve">There is currently no scheduled update for this dataset. it is therefore recommended to include the </w:t>
      </w:r>
      <w:r w:rsidR="00F0346F">
        <w:rPr>
          <w:rFonts w:ascii="Arial" w:hAnsi="Arial" w:cs="Arial"/>
          <w:sz w:val="20"/>
          <w:szCs w:val="20"/>
        </w:rPr>
        <w:t xml:space="preserve">current </w:t>
      </w:r>
      <w:r w:rsidR="0051712E" w:rsidRPr="002D3B8F">
        <w:rPr>
          <w:rFonts w:ascii="Arial" w:hAnsi="Arial" w:cs="Arial"/>
          <w:sz w:val="20"/>
          <w:szCs w:val="20"/>
        </w:rPr>
        <w:t>release date</w:t>
      </w:r>
      <w:r w:rsidR="00F0346F">
        <w:rPr>
          <w:rFonts w:ascii="Arial" w:hAnsi="Arial" w:cs="Arial"/>
          <w:sz w:val="20"/>
          <w:szCs w:val="20"/>
        </w:rPr>
        <w:t xml:space="preserve"> </w:t>
      </w:r>
      <w:r w:rsidR="0051712E" w:rsidRPr="002D3B8F">
        <w:rPr>
          <w:rFonts w:ascii="Arial" w:hAnsi="Arial" w:cs="Arial"/>
          <w:sz w:val="20"/>
          <w:szCs w:val="20"/>
        </w:rPr>
        <w:t>when using and referencing the dataset.</w:t>
      </w:r>
    </w:p>
    <w:p w14:paraId="076F4254"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Resource constraints</w:t>
      </w:r>
    </w:p>
    <w:p w14:paraId="525036BA" w14:textId="7E4E3BEF" w:rsidR="0051712E" w:rsidRPr="002D3B8F" w:rsidRDefault="00F54D4F" w:rsidP="002D7229">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This dataset is provided under Creative Commons C BY 4.0.0 http://creativecommons.org/licenses/by/4.0/.</w:t>
      </w:r>
    </w:p>
    <w:p w14:paraId="6A506FD5" w14:textId="487B5ACD" w:rsidR="0051712E" w:rsidRPr="002D3B8F" w:rsidRDefault="0051712E" w:rsidP="002D7229">
      <w:pPr>
        <w:spacing w:after="120" w:line="240" w:lineRule="auto"/>
        <w:jc w:val="both"/>
        <w:rPr>
          <w:rFonts w:ascii="Arial" w:hAnsi="Arial" w:cs="Arial"/>
          <w:sz w:val="20"/>
          <w:szCs w:val="20"/>
        </w:rPr>
      </w:pPr>
      <w:r w:rsidRPr="002D3B8F">
        <w:rPr>
          <w:rFonts w:ascii="Arial" w:hAnsi="Arial" w:cs="Arial"/>
          <w:sz w:val="20"/>
          <w:szCs w:val="20"/>
        </w:rPr>
        <w:t xml:space="preserve">Where the dataset is used in a figure, </w:t>
      </w:r>
      <w:r w:rsidR="00B10210">
        <w:rPr>
          <w:rFonts w:ascii="Arial" w:hAnsi="Arial" w:cs="Arial"/>
          <w:sz w:val="20"/>
          <w:szCs w:val="20"/>
        </w:rPr>
        <w:t>it requires</w:t>
      </w:r>
      <w:r w:rsidRPr="002D3B8F">
        <w:rPr>
          <w:rFonts w:ascii="Arial" w:hAnsi="Arial" w:cs="Arial"/>
          <w:sz w:val="20"/>
          <w:szCs w:val="20"/>
        </w:rPr>
        <w:t xml:space="preserve"> attribution in the following manner: © GNS </w:t>
      </w:r>
      <w:r w:rsidRPr="00BC252F">
        <w:rPr>
          <w:rFonts w:ascii="Arial" w:hAnsi="Arial" w:cs="Arial"/>
          <w:sz w:val="20"/>
          <w:szCs w:val="20"/>
        </w:rPr>
        <w:t>Science 202</w:t>
      </w:r>
      <w:r w:rsidR="00455388">
        <w:rPr>
          <w:rFonts w:ascii="Arial" w:hAnsi="Arial" w:cs="Arial"/>
          <w:sz w:val="20"/>
          <w:szCs w:val="20"/>
        </w:rPr>
        <w:t>6</w:t>
      </w:r>
      <w:r w:rsidRPr="00BC252F">
        <w:rPr>
          <w:rFonts w:ascii="Arial" w:hAnsi="Arial" w:cs="Arial"/>
          <w:sz w:val="20"/>
          <w:szCs w:val="20"/>
        </w:rPr>
        <w:t>.</w:t>
      </w:r>
      <w:r w:rsidRPr="002D3B8F">
        <w:rPr>
          <w:rFonts w:ascii="Arial" w:hAnsi="Arial" w:cs="Arial"/>
          <w:sz w:val="20"/>
          <w:szCs w:val="20"/>
        </w:rPr>
        <w:t xml:space="preserve"> Where reference to the dataset is to be included in a reference list please cite </w:t>
      </w:r>
      <w:r w:rsidR="004C07B6">
        <w:rPr>
          <w:rFonts w:ascii="Arial" w:hAnsi="Arial" w:cs="Arial"/>
          <w:sz w:val="20"/>
          <w:szCs w:val="20"/>
        </w:rPr>
        <w:t>White</w:t>
      </w:r>
      <w:r w:rsidRPr="002D3B8F">
        <w:rPr>
          <w:rFonts w:ascii="Arial" w:hAnsi="Arial" w:cs="Arial"/>
          <w:sz w:val="20"/>
          <w:szCs w:val="20"/>
        </w:rPr>
        <w:t xml:space="preserve"> et al., 2019 </w:t>
      </w:r>
      <w:r w:rsidR="004B70F5">
        <w:rPr>
          <w:rFonts w:ascii="Arial" w:hAnsi="Arial" w:cs="Arial"/>
          <w:sz w:val="20"/>
          <w:szCs w:val="20"/>
        </w:rPr>
        <w:t>(Revised 202</w:t>
      </w:r>
      <w:r w:rsidR="00455388">
        <w:rPr>
          <w:rFonts w:ascii="Arial" w:hAnsi="Arial" w:cs="Arial"/>
          <w:sz w:val="20"/>
          <w:szCs w:val="20"/>
        </w:rPr>
        <w:t>6</w:t>
      </w:r>
      <w:r w:rsidR="004B70F5">
        <w:rPr>
          <w:rFonts w:ascii="Arial" w:hAnsi="Arial" w:cs="Arial"/>
          <w:sz w:val="20"/>
          <w:szCs w:val="20"/>
        </w:rPr>
        <w:t xml:space="preserve">) </w:t>
      </w:r>
      <w:r w:rsidRPr="002D3B8F">
        <w:rPr>
          <w:rFonts w:ascii="Arial" w:hAnsi="Arial" w:cs="Arial"/>
          <w:sz w:val="20"/>
          <w:szCs w:val="20"/>
        </w:rPr>
        <w:t>(see Credits for full reference).</w:t>
      </w:r>
    </w:p>
    <w:p w14:paraId="51738BAC"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Spatial resolution</w:t>
      </w:r>
    </w:p>
    <w:p w14:paraId="58C21AC0" w14:textId="0EBE7D62" w:rsidR="0051712E" w:rsidRPr="002D3B8F" w:rsidRDefault="00F54D4F" w:rsidP="002D7229">
      <w:pPr>
        <w:spacing w:after="120" w:line="240" w:lineRule="auto"/>
        <w:jc w:val="both"/>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This dataset is provided with an indicative resolution of 1:250,000-scale. Details on uncertain</w:t>
      </w:r>
      <w:r w:rsidR="00600B05">
        <w:rPr>
          <w:rFonts w:ascii="Arial" w:hAnsi="Arial" w:cs="Arial"/>
          <w:sz w:val="20"/>
          <w:szCs w:val="20"/>
        </w:rPr>
        <w:t>t</w:t>
      </w:r>
      <w:r w:rsidR="0051712E" w:rsidRPr="002D3B8F">
        <w:rPr>
          <w:rFonts w:ascii="Arial" w:hAnsi="Arial" w:cs="Arial"/>
          <w:sz w:val="20"/>
          <w:szCs w:val="20"/>
        </w:rPr>
        <w:t>y pertaining to scale, resolution and capture of the input dataset is detailed in Moreau et al., 2019 (see Credits for full reference).</w:t>
      </w:r>
    </w:p>
    <w:p w14:paraId="0E8530B7"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Spatial Extent</w:t>
      </w:r>
    </w:p>
    <w:p w14:paraId="26AA93DB" w14:textId="3DF32C32" w:rsidR="0051712E" w:rsidRPr="002D3B8F" w:rsidRDefault="00F54D4F" w:rsidP="00E323ED">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New Zealand, bounding box 'NZ': ('New Zealand', (166.509144322, -46.641235447, 178.517093541, -34.4506617165))</w:t>
      </w:r>
    </w:p>
    <w:p w14:paraId="351FF78D"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Temporal Extent</w:t>
      </w:r>
    </w:p>
    <w:p w14:paraId="2668BE02" w14:textId="72A601AB" w:rsidR="0051712E" w:rsidRPr="002D3B8F" w:rsidRDefault="00F54D4F" w:rsidP="00E323ED">
      <w:pPr>
        <w:spacing w:after="120" w:line="240" w:lineRule="auto"/>
        <w:rPr>
          <w:rFonts w:ascii="Arial" w:hAnsi="Arial" w:cs="Arial"/>
          <w:sz w:val="20"/>
          <w:szCs w:val="20"/>
        </w:rPr>
      </w:pPr>
      <w:r>
        <w:rPr>
          <w:rFonts w:ascii="Arial" w:hAnsi="Arial" w:cs="Arial"/>
          <w:sz w:val="20"/>
          <w:szCs w:val="20"/>
        </w:rPr>
        <w:t xml:space="preserve">: </w:t>
      </w:r>
      <w:r w:rsidR="0051712E" w:rsidRPr="002D3B8F">
        <w:rPr>
          <w:rFonts w:ascii="Arial" w:hAnsi="Arial" w:cs="Arial"/>
          <w:sz w:val="20"/>
          <w:szCs w:val="20"/>
        </w:rPr>
        <w:t>Not applicable</w:t>
      </w:r>
    </w:p>
    <w:p w14:paraId="1B8D27D9" w14:textId="77777777" w:rsidR="0051712E" w:rsidRPr="002D3B8F" w:rsidRDefault="0051712E" w:rsidP="0051712E">
      <w:pPr>
        <w:rPr>
          <w:rFonts w:ascii="Arial" w:hAnsi="Arial" w:cs="Arial"/>
          <w:b/>
          <w:bCs/>
          <w:sz w:val="20"/>
          <w:szCs w:val="20"/>
        </w:rPr>
      </w:pPr>
      <w:r w:rsidRPr="002D3B8F">
        <w:rPr>
          <w:rFonts w:ascii="Arial" w:hAnsi="Arial" w:cs="Arial"/>
          <w:b/>
          <w:bCs/>
          <w:sz w:val="20"/>
          <w:szCs w:val="20"/>
        </w:rPr>
        <w:t>Credits</w:t>
      </w:r>
    </w:p>
    <w:p w14:paraId="25AA8EE0" w14:textId="108012C6" w:rsidR="0051712E" w:rsidRDefault="00F54D4F" w:rsidP="0051712E">
      <w:pPr>
        <w:rPr>
          <w:rFonts w:ascii="Arial" w:hAnsi="Arial" w:cs="Arial"/>
          <w:sz w:val="20"/>
          <w:szCs w:val="20"/>
        </w:rPr>
      </w:pPr>
      <w:bookmarkStart w:id="9" w:name="_Hlk118802134"/>
      <w:r>
        <w:rPr>
          <w:rFonts w:ascii="Arial" w:hAnsi="Arial" w:cs="Arial"/>
          <w:sz w:val="20"/>
          <w:szCs w:val="20"/>
        </w:rPr>
        <w:lastRenderedPageBreak/>
        <w:t xml:space="preserve">: </w:t>
      </w:r>
      <w:r w:rsidR="004C07B6" w:rsidRPr="004C07B6">
        <w:rPr>
          <w:rFonts w:ascii="Arial" w:hAnsi="Arial" w:cs="Arial"/>
          <w:sz w:val="20"/>
          <w:szCs w:val="20"/>
        </w:rPr>
        <w:t>White PA, Moreau M, Mourot F, Rawlinson ZJ. 2019</w:t>
      </w:r>
      <w:r w:rsidR="004B70F5">
        <w:rPr>
          <w:rFonts w:ascii="Arial" w:hAnsi="Arial" w:cs="Arial"/>
          <w:sz w:val="20"/>
          <w:szCs w:val="20"/>
        </w:rPr>
        <w:t xml:space="preserve"> (Revised 202</w:t>
      </w:r>
      <w:r w:rsidR="00455388">
        <w:rPr>
          <w:rFonts w:ascii="Arial" w:hAnsi="Arial" w:cs="Arial"/>
          <w:sz w:val="20"/>
          <w:szCs w:val="20"/>
        </w:rPr>
        <w:t>6</w:t>
      </w:r>
      <w:r w:rsidR="004B70F5">
        <w:rPr>
          <w:rFonts w:ascii="Arial" w:hAnsi="Arial" w:cs="Arial"/>
          <w:sz w:val="20"/>
          <w:szCs w:val="20"/>
        </w:rPr>
        <w:t>)</w:t>
      </w:r>
      <w:r w:rsidR="004C07B6" w:rsidRPr="004C07B6">
        <w:rPr>
          <w:rFonts w:ascii="Arial" w:hAnsi="Arial" w:cs="Arial"/>
          <w:sz w:val="20"/>
          <w:szCs w:val="20"/>
        </w:rPr>
        <w:t xml:space="preserve">. New Zealand groundwater atlas:hydrogeological-unit map of New Zealand. Lower Hutt (NZ): GNS Science. </w:t>
      </w:r>
      <w:r w:rsidR="004C07B6">
        <w:rPr>
          <w:rFonts w:ascii="Arial" w:hAnsi="Arial" w:cs="Arial"/>
          <w:sz w:val="20"/>
          <w:szCs w:val="20"/>
        </w:rPr>
        <w:t>[</w:t>
      </w:r>
      <w:r w:rsidR="004C07B6" w:rsidRPr="004C07B6">
        <w:rPr>
          <w:rFonts w:ascii="Arial" w:hAnsi="Arial" w:cs="Arial"/>
          <w:sz w:val="20"/>
          <w:szCs w:val="20"/>
        </w:rPr>
        <w:t>86</w:t>
      </w:r>
      <w:r w:rsidR="004C07B6">
        <w:rPr>
          <w:rFonts w:ascii="Arial" w:hAnsi="Arial" w:cs="Arial"/>
          <w:sz w:val="20"/>
          <w:szCs w:val="20"/>
        </w:rPr>
        <w:t>]</w:t>
      </w:r>
      <w:r w:rsidR="004C07B6" w:rsidRPr="004C07B6">
        <w:rPr>
          <w:rFonts w:ascii="Arial" w:hAnsi="Arial" w:cs="Arial"/>
          <w:sz w:val="20"/>
          <w:szCs w:val="20"/>
        </w:rPr>
        <w:t xml:space="preserve"> p. Consultancy Report 2019/144</w:t>
      </w:r>
      <w:r w:rsidR="004C07B6">
        <w:rPr>
          <w:rFonts w:ascii="Arial" w:hAnsi="Arial" w:cs="Arial"/>
          <w:sz w:val="20"/>
          <w:szCs w:val="20"/>
        </w:rPr>
        <w:t>.</w:t>
      </w:r>
    </w:p>
    <w:bookmarkEnd w:id="9"/>
    <w:p w14:paraId="2A8BFE44" w14:textId="77777777" w:rsidR="00704E62" w:rsidRPr="00D8615F" w:rsidRDefault="00704E62" w:rsidP="00704E62">
      <w:pPr>
        <w:rPr>
          <w:rFonts w:ascii="Arial" w:hAnsi="Arial"/>
        </w:rPr>
      </w:pPr>
      <w:r w:rsidRPr="00D8615F">
        <w:rPr>
          <w:rFonts w:ascii="Arial" w:hAnsi="Arial"/>
          <w:b/>
          <w:bCs/>
        </w:rPr>
        <w:t>References</w:t>
      </w:r>
    </w:p>
    <w:p w14:paraId="3ABFA38D" w14:textId="77777777" w:rsidR="00712FCF" w:rsidRPr="002D68AE" w:rsidRDefault="00712FCF" w:rsidP="00712FCF">
      <w:pPr>
        <w:pStyle w:val="Reference"/>
      </w:pPr>
      <w:r w:rsidRPr="002D68AE">
        <w:t>Bishop DG, Forsyth PJ, Turnbull IM</w:t>
      </w:r>
      <w:r>
        <w:t>, compilers</w:t>
      </w:r>
      <w:r w:rsidRPr="002D68AE">
        <w:t>. 1996. Dunedin [map]. Lower Hutt (NZ): Institute of Geological &amp; Nuclear Sciences. 1 map + 52 p., scale 1:250</w:t>
      </w:r>
      <w:r>
        <w:t>,</w:t>
      </w:r>
      <w:r w:rsidRPr="002D68AE">
        <w:t>000. (Institute of Geological &amp; Nuclear Sciences 1:250</w:t>
      </w:r>
      <w:r>
        <w:t>,</w:t>
      </w:r>
      <w:r w:rsidRPr="002D68AE">
        <w:t>000 geological map</w:t>
      </w:r>
      <w:r>
        <w:t>; 21)</w:t>
      </w:r>
      <w:r w:rsidRPr="002D68AE">
        <w:t>.</w:t>
      </w:r>
    </w:p>
    <w:p w14:paraId="4203B2CC" w14:textId="77777777" w:rsidR="00383E3E" w:rsidRPr="002D68AE" w:rsidRDefault="00383E3E" w:rsidP="00383E3E">
      <w:pPr>
        <w:pStyle w:val="Reference"/>
      </w:pPr>
      <w:r w:rsidRPr="002D68AE">
        <w:t>Begg JG, Johnston MR</w:t>
      </w:r>
      <w:r>
        <w:t>, compilers</w:t>
      </w:r>
      <w:r w:rsidRPr="002D68AE">
        <w:t>. 2000. Wellington [map]. Lower Hutt (NZ): Institute of Geological &amp; Nuclear Sciences. 1 map + 1 book (64 p.), scale 1:250,000. (Institute of Geological &amp; Nuclear Sciences 1:250,000 geological map; 10).</w:t>
      </w:r>
    </w:p>
    <w:p w14:paraId="71D6B77D" w14:textId="77777777" w:rsidR="00D348AD" w:rsidRDefault="00D348AD" w:rsidP="00D348AD">
      <w:pPr>
        <w:pStyle w:val="Reference"/>
      </w:pPr>
      <w:r>
        <w:t xml:space="preserve">Cooper AF, Ireland TR. 2013. Cretaceous sedimentation and metamorphism of the western Alpine Schist protoliths associated with the Pounamu Ultramafic Belt, Westland, New Zealand, </w:t>
      </w:r>
      <w:r w:rsidRPr="00D348AD">
        <w:rPr>
          <w:i/>
          <w:iCs/>
        </w:rPr>
        <w:t>New Zealand Journal of Geology and Geophysics</w:t>
      </w:r>
      <w:r>
        <w:t>, 56:4,188-199, DOI: 10.1080/00288306.2013.809776</w:t>
      </w:r>
    </w:p>
    <w:p w14:paraId="1A78F0E9" w14:textId="297E6ADF" w:rsidR="00712FCF" w:rsidRPr="00286DF8" w:rsidRDefault="00712FCF" w:rsidP="00D348AD">
      <w:pPr>
        <w:pStyle w:val="Reference"/>
      </w:pPr>
      <w:r w:rsidRPr="00286DF8">
        <w:t>Cox SC, Barrell DJA, Suggate RP</w:t>
      </w:r>
      <w:r>
        <w:t>, compilers</w:t>
      </w:r>
      <w:r w:rsidRPr="00286DF8">
        <w:t>. 2007. Aoraki</w:t>
      </w:r>
      <w:r>
        <w:t xml:space="preserve"> [map]</w:t>
      </w:r>
      <w:r w:rsidRPr="00286DF8">
        <w:t>. Lower Hutt (NZ): GNS Science. 1</w:t>
      </w:r>
      <w:r>
        <w:t> </w:t>
      </w:r>
      <w:r w:rsidRPr="00286DF8">
        <w:t>map + 71 p., scale 1:250,000. (Institute of Geological &amp; Nuclear Sciences 1:250</w:t>
      </w:r>
      <w:r>
        <w:t>,</w:t>
      </w:r>
      <w:r w:rsidRPr="00286DF8">
        <w:t>000 geological map; 15).</w:t>
      </w:r>
    </w:p>
    <w:p w14:paraId="724E2235" w14:textId="77777777" w:rsidR="00712FCF" w:rsidRPr="00EC2302" w:rsidRDefault="00712FCF" w:rsidP="00712FCF">
      <w:pPr>
        <w:pStyle w:val="Reference"/>
      </w:pPr>
      <w:r w:rsidRPr="00EC2302">
        <w:t>Edbrooke SW, Brook FJ</w:t>
      </w:r>
      <w:r>
        <w:t>, compilers</w:t>
      </w:r>
      <w:r w:rsidRPr="00EC2302">
        <w:t>. 2009. Whangarei [map]. Lower Hutt (NZ): Institute of Geological &amp; Nuclear Sciences. 1 map + 68 p., scale 1:250,000. (Institute of Geological &amp; Nuclear Sciences 1:250 000 geological map</w:t>
      </w:r>
      <w:r>
        <w:t>; 2)</w:t>
      </w:r>
      <w:r w:rsidRPr="00EC2302">
        <w:t>.</w:t>
      </w:r>
    </w:p>
    <w:p w14:paraId="3A833FB1" w14:textId="77777777" w:rsidR="00712FCF" w:rsidRPr="006A237B" w:rsidRDefault="00712FCF" w:rsidP="00712FCF">
      <w:pPr>
        <w:pStyle w:val="Reference"/>
      </w:pPr>
      <w:r w:rsidRPr="006A237B">
        <w:t>Edbrooke SW</w:t>
      </w:r>
      <w:r>
        <w:t>, compiler</w:t>
      </w:r>
      <w:r w:rsidRPr="006A237B">
        <w:t>. 2001. Auckland [map]. Lower Hutt (NZ): Institute of Geological &amp; Nuclear Sciences. 1 map + 74 p., scale 1:250,000. (Institute of Geological &amp; Nuclear Sciences 1:250</w:t>
      </w:r>
      <w:r>
        <w:t>,</w:t>
      </w:r>
      <w:r w:rsidRPr="006A237B">
        <w:t>000 geological map; 3).</w:t>
      </w:r>
    </w:p>
    <w:p w14:paraId="582F4DA1" w14:textId="57569A39" w:rsidR="00712FCF" w:rsidRPr="00FD0673" w:rsidRDefault="00712FCF" w:rsidP="00712FCF">
      <w:pPr>
        <w:pStyle w:val="Reference"/>
      </w:pPr>
      <w:r w:rsidRPr="00FD0673">
        <w:t>Edbrooke SW (compiler) 2005: Geology of the Waikato area: scale 1:250,000. Lower Hutt: Institute of Geological &amp; Nuclear Sciences. Institute of Geological &amp; Nuclear Sciences 1:250,000 geological map 4. 68 p. + 1 folded map.</w:t>
      </w:r>
    </w:p>
    <w:p w14:paraId="29C1FBA5" w14:textId="77777777" w:rsidR="00712FCF" w:rsidRPr="00FD0673" w:rsidRDefault="00712FCF" w:rsidP="00712FCF">
      <w:pPr>
        <w:pStyle w:val="Reference"/>
      </w:pPr>
      <w:r w:rsidRPr="00FD0673">
        <w:t>Environment Court. 2011. Decision No. NZEnvC 163 in regards of Proposed Waikato Regional Plan Variation 5 – Lake Taupo catchment. 48 p.</w:t>
      </w:r>
    </w:p>
    <w:p w14:paraId="6E35AD76" w14:textId="77777777" w:rsidR="000A0E1B" w:rsidRPr="00820766" w:rsidRDefault="000A0E1B" w:rsidP="000A0E1B">
      <w:pPr>
        <w:pStyle w:val="Reference"/>
      </w:pPr>
      <w:r w:rsidRPr="00820766">
        <w:t>Forsyth PJ, Glassey PJ, Barrell DJA</w:t>
      </w:r>
      <w:r>
        <w:t>, compilers</w:t>
      </w:r>
      <w:r w:rsidRPr="00820766">
        <w:t>. 2001. Waitaki [map]. Lower Hutt (NZ): Institute of Geological &amp; Nuclear Sciences. 1 map + 64 p., scale 1:250,000. (Institute of Geological &amp; Nuclear Sciences 1:250,000 geological map; 19).</w:t>
      </w:r>
    </w:p>
    <w:p w14:paraId="1C4C6BF9" w14:textId="77777777" w:rsidR="000A0E1B" w:rsidRPr="00820766" w:rsidRDefault="000A0E1B" w:rsidP="000A0E1B">
      <w:pPr>
        <w:pStyle w:val="Reference"/>
      </w:pPr>
      <w:r w:rsidRPr="00820766">
        <w:t>Forsyth PJ, Barrell DJA, Jongens R, Begg JG</w:t>
      </w:r>
      <w:r>
        <w:t>, compilers</w:t>
      </w:r>
      <w:r w:rsidRPr="00820766">
        <w:t>. 2008. Christchurch [map]. Lower Hutt (NZ): GNS Science. 1 map +67 p., scale 1:250,000. (Institute of Geological &amp; Nuclear Sciences 1:250,000 geological map; 16).</w:t>
      </w:r>
    </w:p>
    <w:p w14:paraId="0B332806" w14:textId="77777777" w:rsidR="000A0E1B" w:rsidRDefault="000A0E1B" w:rsidP="000A0E1B">
      <w:pPr>
        <w:pStyle w:val="Reference"/>
      </w:pPr>
      <w:r>
        <w:t xml:space="preserve">Heron DW. 2014. Geological map of New Zealand 1:250,000. Lower Hutt (NZ): GNS Science. 1 CD. </w:t>
      </w:r>
      <w:r w:rsidRPr="00EF3C70">
        <w:t>(GNS Science geological map; 1).</w:t>
      </w:r>
    </w:p>
    <w:p w14:paraId="1928E990" w14:textId="77777777" w:rsidR="000A0E1B" w:rsidRPr="00252EF9" w:rsidRDefault="000A0E1B" w:rsidP="000A0E1B">
      <w:pPr>
        <w:pStyle w:val="Reference"/>
      </w:pPr>
      <w:r w:rsidRPr="00252EF9">
        <w:t>Isaac MJ. 1996. Kaitaia [map]. Lower Hutt (NZ): Institute of Geological &amp; Nuclear Sciences. 1 map + 44 p., scale 1:250,000. (Institute of Geological &amp; Nuclear Sciences 1:250,000 geological map;</w:t>
      </w:r>
      <w:r>
        <w:t> </w:t>
      </w:r>
      <w:r w:rsidRPr="00252EF9">
        <w:t>1).</w:t>
      </w:r>
    </w:p>
    <w:p w14:paraId="3221BFB7" w14:textId="77777777" w:rsidR="00383E3E" w:rsidRPr="00990501" w:rsidRDefault="00383E3E" w:rsidP="00383E3E">
      <w:pPr>
        <w:pStyle w:val="Reference"/>
      </w:pPr>
      <w:r w:rsidRPr="00990501">
        <w:t>Lee JM</w:t>
      </w:r>
      <w:r>
        <w:t xml:space="preserve">, </w:t>
      </w:r>
      <w:r w:rsidRPr="00990501">
        <w:t>Begg JG</w:t>
      </w:r>
      <w:r>
        <w:t>, compilers</w:t>
      </w:r>
      <w:r w:rsidRPr="00990501">
        <w:t>. 2002. Wairarapa [map]. Lower Hutt (NZ): Institute of Geological &amp; Nuclear Sciences. 1 map + 66 p., scale 1:250,000. (Institute of Geological &amp; Nuclear Sciences 1:250,000 geological map; 11).</w:t>
      </w:r>
    </w:p>
    <w:p w14:paraId="53C4AA11" w14:textId="77777777" w:rsidR="00383E3E" w:rsidRDefault="00383E3E" w:rsidP="00383E3E">
      <w:pPr>
        <w:pStyle w:val="Reference"/>
      </w:pPr>
      <w:r w:rsidRPr="00990501">
        <w:lastRenderedPageBreak/>
        <w:t>Lee JM, Browne GH, Begg JG</w:t>
      </w:r>
      <w:r>
        <w:t>, compilers</w:t>
      </w:r>
      <w:r w:rsidRPr="00990501">
        <w:t>. 2011. Hawke's Bay [map]. Lower Hutt (NZ): GNS Science. 1 map + 93 p., scale 1:250,000. (Institute of Geological &amp; Nuclear Sciences 1:250,000 geological map; 8).</w:t>
      </w:r>
    </w:p>
    <w:p w14:paraId="305F5D2F" w14:textId="6A26C175" w:rsidR="00383E3E" w:rsidRPr="009F2F3E" w:rsidRDefault="00383E3E" w:rsidP="00383E3E">
      <w:pPr>
        <w:pStyle w:val="Reference"/>
      </w:pPr>
      <w:r w:rsidRPr="009F2F3E">
        <w:t>Lee JM, Bland</w:t>
      </w:r>
      <w:r>
        <w:t xml:space="preserve"> </w:t>
      </w:r>
      <w:r w:rsidRPr="009F2F3E">
        <w:t xml:space="preserve">KJ, Townsend DB, Kamp PJJ. (compilers) 2011. Geology of the Hawkes Bay. area. Institute of Geological and Nuclear Sciences geological map 8: scale 1:250,000. Lower Hutt. </w:t>
      </w:r>
    </w:p>
    <w:p w14:paraId="5586AD3D" w14:textId="34B8F055" w:rsidR="00383E3E" w:rsidRDefault="00383E3E" w:rsidP="00383E3E">
      <w:pPr>
        <w:pStyle w:val="Reference"/>
      </w:pPr>
      <w:r w:rsidRPr="009F2F3E">
        <w:t>Leonard, GS, Begg JG, Wilson CJN, 2010. Institute of Geological and Nuclear Sciences geological map 5 Geology of the Rotorua area: scale 1:250,000. Lower Hutt.</w:t>
      </w:r>
    </w:p>
    <w:p w14:paraId="6889D16B" w14:textId="3D71F6C5" w:rsidR="000A0E1B" w:rsidRPr="00990501" w:rsidRDefault="000A0E1B" w:rsidP="000A0E1B">
      <w:pPr>
        <w:pStyle w:val="Reference"/>
      </w:pPr>
      <w:r w:rsidRPr="00990501">
        <w:t>Leonard GS, Begg JG, Wilson CJN</w:t>
      </w:r>
      <w:r>
        <w:t>, compilers</w:t>
      </w:r>
      <w:r w:rsidRPr="00990501">
        <w:t>. 2010. Rotorua [map]. Lower Hutt (NZ): Institute of Geological &amp; Nuclear Sciences. 1 map + 102 p., scale 1:250,000. (Institute of Geological &amp; Nuclear Sciences 1:250,000 geological map; 5).</w:t>
      </w:r>
    </w:p>
    <w:p w14:paraId="387F2148" w14:textId="684C5B5C" w:rsidR="001A6EF3" w:rsidRDefault="001A6EF3" w:rsidP="001A6EF3">
      <w:pPr>
        <w:pStyle w:val="Reference"/>
      </w:pPr>
      <w:r>
        <w:t>Leask WL. 1993. Brunner Coal Measures at Golden Bay, Nelson: an Eocene fluvial-estuarine deposit. New Zealand Journal of Geology and Geophysics 36, 37-50.</w:t>
      </w:r>
    </w:p>
    <w:p w14:paraId="0A33E106" w14:textId="60EB288A" w:rsidR="000A0E1B" w:rsidRDefault="000A0E1B" w:rsidP="000A0E1B">
      <w:pPr>
        <w:pStyle w:val="Reference"/>
      </w:pPr>
      <w:r w:rsidRPr="00990501">
        <w:t>Mazengarb C, Speden IG</w:t>
      </w:r>
      <w:r>
        <w:t>, compilers</w:t>
      </w:r>
      <w:r w:rsidRPr="00990501">
        <w:t>. 2000. Raukumara [map]. Lower Hutt (NZ): Institute of Geological &amp; Nuclear Sciences. 1 map + 60 p., scale 1:250,000. (Institute of Geological &amp; Nuclear Sciences 1:250,000 geological map; 6).</w:t>
      </w:r>
    </w:p>
    <w:p w14:paraId="554AB573" w14:textId="77777777" w:rsidR="00FB5A1F" w:rsidRDefault="00FB5A1F" w:rsidP="000A0E1B">
      <w:pPr>
        <w:pStyle w:val="Reference"/>
      </w:pPr>
      <w:r w:rsidRPr="00FB5A1F">
        <w:t>Moreau M, White PA, Mourot F, Rawlinson Z, Tschritter C, Cameron SC, Westerhoff R. 2019. Classification of New Zealand hydrogeological systems. Lower Hutt (NZ): GNS Science. [28] p. (GNS Science report; 2018/35). doi:10.21420/42QW-MC74.</w:t>
      </w:r>
    </w:p>
    <w:p w14:paraId="58FB4357" w14:textId="3604129C" w:rsidR="000A0E1B" w:rsidRPr="00BC6C65" w:rsidRDefault="000A0E1B" w:rsidP="000A0E1B">
      <w:pPr>
        <w:pStyle w:val="Reference"/>
      </w:pPr>
      <w:r w:rsidRPr="00BC6C65">
        <w:t>Nathan S, Rattenbury MS, Suggate RP</w:t>
      </w:r>
      <w:r>
        <w:t>, compilers</w:t>
      </w:r>
      <w:r w:rsidRPr="00BC6C65">
        <w:t>. 2002. Greymouth [map]. Lower Hutt (NZ): Institute of Geological &amp; Nuclear Sciences. 1 map + 58 p., scale 1:250,000. (Institute of Geological &amp; Nuclear Sciences 1:250,000 geological map; 12).</w:t>
      </w:r>
    </w:p>
    <w:p w14:paraId="6D98FC0D" w14:textId="0EBD150F" w:rsidR="00D348AD" w:rsidRDefault="00D348AD" w:rsidP="00D348AD">
      <w:pPr>
        <w:pStyle w:val="Reference"/>
      </w:pPr>
      <w:r>
        <w:t>Price</w:t>
      </w:r>
      <w:r w:rsidRPr="00D348AD">
        <w:t xml:space="preserve"> </w:t>
      </w:r>
      <w:r>
        <w:t xml:space="preserve">RC, Mortimer N, Smith IEM, Maas R. 2015. Whole-rock geochemical reference data for Torlesse and Waipapa terranes, North Island, New Zealand, New Zealand, </w:t>
      </w:r>
      <w:r w:rsidRPr="00D348AD">
        <w:rPr>
          <w:i/>
          <w:iCs/>
        </w:rPr>
        <w:t>Journal of Geology and Geophysics</w:t>
      </w:r>
      <w:r>
        <w:t>, 58:3, 213-228, DOI: 10.1080/00288306.2015.1026832</w:t>
      </w:r>
    </w:p>
    <w:p w14:paraId="19C5997E" w14:textId="1C5CF53F" w:rsidR="001A6EF3" w:rsidRDefault="001A6EF3" w:rsidP="004714B5">
      <w:pPr>
        <w:pStyle w:val="Reference"/>
      </w:pPr>
      <w:r>
        <w:t xml:space="preserve">Raiber M, White P, </w:t>
      </w:r>
      <w:hyperlink r:id="rId6" w:history="1">
        <w:r>
          <w:t>Daughney</w:t>
        </w:r>
      </w:hyperlink>
      <w:r>
        <w:t xml:space="preserve"> CJ, Bainbridge SE. 2012. </w:t>
      </w:r>
      <w:r w:rsidRPr="001A6EF3">
        <w:t>Three-dimensional geological modelling and multivariate statistical analysis of water chemistry data to analyse and visualise aquifer structure and groundwater composition in the Wairau Plain, Marlborough District, New Zealand</w:t>
      </w:r>
      <w:r>
        <w:t>, Journal of Hydrology s 436-437:13-34.</w:t>
      </w:r>
      <w:r w:rsidRPr="001A6EF3">
        <w:t xml:space="preserve">    DOI: 10.1016/j.jhydrol.2012.01.045</w:t>
      </w:r>
    </w:p>
    <w:p w14:paraId="1CEB6921" w14:textId="35393805" w:rsidR="004714B5" w:rsidRDefault="004714B5" w:rsidP="004714B5">
      <w:pPr>
        <w:pStyle w:val="Reference"/>
      </w:pPr>
      <w:r>
        <w:t xml:space="preserve">Rawlinson ZJ, Begg J. 2014. Hydrogeology of the Upper </w:t>
      </w:r>
      <w:r w:rsidR="00455388">
        <w:t>M</w:t>
      </w:r>
      <w:r>
        <w:t>anawatu and Mangatainoka catchments, Tararua, GNS Science Consultancy Report 2014/127. 48 p</w:t>
      </w:r>
    </w:p>
    <w:p w14:paraId="37E7F08D" w14:textId="199994BB" w:rsidR="000A0E1B" w:rsidRPr="00145C92" w:rsidRDefault="000A0E1B" w:rsidP="000A0E1B">
      <w:pPr>
        <w:pStyle w:val="Reference"/>
      </w:pPr>
      <w:r w:rsidRPr="00145C92">
        <w:t>Rattenbury MS, Cooper RA, Johnston MR</w:t>
      </w:r>
      <w:r>
        <w:t xml:space="preserve">, compilers. 1998. </w:t>
      </w:r>
      <w:r w:rsidRPr="00145C92">
        <w:t>Nelson [map]. Lower Hutt (NZ): Institute of Geological &amp; Nuclear Sciences. 1 map + 67 p., scale 1:250,000. (Institute of Geological &amp; Nuclear Sciences 1:250,000 geological map; 9).</w:t>
      </w:r>
    </w:p>
    <w:p w14:paraId="580429B6" w14:textId="77777777" w:rsidR="000A0E1B" w:rsidRPr="00FD0673" w:rsidRDefault="000A0E1B" w:rsidP="000A0E1B">
      <w:pPr>
        <w:pStyle w:val="Reference"/>
      </w:pPr>
      <w:r w:rsidRPr="00145C92">
        <w:t xml:space="preserve">Rattenbury MS, </w:t>
      </w:r>
      <w:r>
        <w:t>Townsend DB, Johnston MR, compilers. 2006. Kaikoura</w:t>
      </w:r>
      <w:r w:rsidRPr="00145C92">
        <w:t xml:space="preserve"> [map]. Lower Hutt (NZ): </w:t>
      </w:r>
      <w:r>
        <w:t>GNS Science</w:t>
      </w:r>
      <w:r w:rsidRPr="00145C92">
        <w:t xml:space="preserve">. 1 map + </w:t>
      </w:r>
      <w:r>
        <w:t>70</w:t>
      </w:r>
      <w:r w:rsidRPr="00145C92">
        <w:t xml:space="preserve"> p., scale 1:250,000. (Institute of Geological &amp; Nuclear Sciences 1:250,000 geological map; </w:t>
      </w:r>
      <w:r>
        <w:t>13</w:t>
      </w:r>
      <w:r w:rsidRPr="00145C92">
        <w:t>).</w:t>
      </w:r>
    </w:p>
    <w:p w14:paraId="32C118D0" w14:textId="77777777" w:rsidR="000A0E1B" w:rsidRPr="000B2989" w:rsidRDefault="000A0E1B" w:rsidP="000A0E1B">
      <w:pPr>
        <w:pStyle w:val="Reference"/>
      </w:pPr>
      <w:r w:rsidRPr="000B2989">
        <w:t>Rattenbury MS, Jongens R, Cox SC</w:t>
      </w:r>
      <w:r>
        <w:t>, compilers</w:t>
      </w:r>
      <w:r w:rsidRPr="000B2989">
        <w:t>. 2010. Haast [map]. Lower Hutt (NZ): GNS Science. 1</w:t>
      </w:r>
      <w:r>
        <w:t> </w:t>
      </w:r>
      <w:r w:rsidRPr="000B2989">
        <w:t>map + 58 p., scale 1:250,000. (Institute of Geological &amp; Nuclear Sciences 1:250,000 geological map; 14).</w:t>
      </w:r>
    </w:p>
    <w:p w14:paraId="725A6657" w14:textId="77777777" w:rsidR="00D348AD" w:rsidRDefault="00D348AD" w:rsidP="00D348AD">
      <w:pPr>
        <w:pStyle w:val="Reference"/>
      </w:pPr>
      <w:r>
        <w:t xml:space="preserve">Seebeck H, Strogen DP, Nicol A, Hines BR, Bland KJ. 2024. A tectonic reconstruction model for Aotearoa-New Zealand from the mid-Late Cretaceous to the present day, New Zealand </w:t>
      </w:r>
      <w:r w:rsidRPr="00D348AD">
        <w:rPr>
          <w:i/>
          <w:iCs/>
        </w:rPr>
        <w:t>Journal of Geology and Geophysics</w:t>
      </w:r>
      <w:r>
        <w:t>, 67:4,527-550, DOI: 10.1080/00288306.2023.2239175</w:t>
      </w:r>
    </w:p>
    <w:p w14:paraId="25CFF14D" w14:textId="24808AD2" w:rsidR="00970D6C" w:rsidRDefault="00970D6C" w:rsidP="00D348AD">
      <w:pPr>
        <w:pStyle w:val="Reference"/>
      </w:pPr>
      <w:r>
        <w:t>Todd DK, Mays LW. 2005. Groundwater hydrology. 3rd ed. Hoboken (NJ): Wiley. 636 p.</w:t>
      </w:r>
    </w:p>
    <w:p w14:paraId="2686DE81" w14:textId="6D78D1D1" w:rsidR="000A0E1B" w:rsidRPr="006A469E" w:rsidRDefault="000A0E1B" w:rsidP="000A0E1B">
      <w:pPr>
        <w:pStyle w:val="Reference"/>
      </w:pPr>
      <w:r w:rsidRPr="006A469E">
        <w:lastRenderedPageBreak/>
        <w:t>Townsend DB, Vonk A, Kamp PJJ</w:t>
      </w:r>
      <w:r>
        <w:t>, compilers</w:t>
      </w:r>
      <w:r w:rsidRPr="006A469E">
        <w:t>. 2008. Taranaki [map]. Lower Hutt (NZ): GNS Science. 1 map + 77 p., scale 1:250,000. (Institute of Geological &amp; Nuclear Sciences 1:250,000 geological map; 7).</w:t>
      </w:r>
    </w:p>
    <w:p w14:paraId="0E2204F5" w14:textId="77777777" w:rsidR="000A0E1B" w:rsidRPr="006A469E" w:rsidRDefault="000A0E1B" w:rsidP="000A0E1B">
      <w:pPr>
        <w:pStyle w:val="Reference"/>
      </w:pPr>
      <w:r w:rsidRPr="006A469E">
        <w:t>Turnbull IM</w:t>
      </w:r>
      <w:r>
        <w:t>, compiler</w:t>
      </w:r>
      <w:r w:rsidRPr="006A469E">
        <w:t>. 2000. Wakatipu [map]. Lower Hutt (NZ): Institute of Geological &amp; Nuclear Sciences. 1 map + 72 p., scale 1:250,000. (Institute of Geological &amp; Nuclear Sciences 1:250,000 geological map; 18).</w:t>
      </w:r>
    </w:p>
    <w:p w14:paraId="4A24D6D6" w14:textId="77777777" w:rsidR="000A0E1B" w:rsidRPr="00052E35" w:rsidRDefault="000A0E1B" w:rsidP="000A0E1B">
      <w:pPr>
        <w:pStyle w:val="Reference"/>
      </w:pPr>
      <w:r w:rsidRPr="00052E35">
        <w:t>Turnbull IM, Allibone AH. 2003. Murihiku [map]. Lower Hutt (NZ): Institute of Geological &amp; Nuclear Sciences. 1 map + 74 p., scale 1:250,000. (Institute of Geological &amp; Nuclear Sciences 1:250,000 geological map; 20).</w:t>
      </w:r>
    </w:p>
    <w:p w14:paraId="0252B38D" w14:textId="77777777" w:rsidR="000A0E1B" w:rsidRPr="00052E35" w:rsidRDefault="000A0E1B" w:rsidP="000A0E1B">
      <w:pPr>
        <w:pStyle w:val="Reference"/>
      </w:pPr>
      <w:r w:rsidRPr="00052E35">
        <w:t>Turnbull IM, Allibone AH, Jongens R</w:t>
      </w:r>
      <w:r>
        <w:t>, compilers</w:t>
      </w:r>
      <w:r w:rsidRPr="00052E35">
        <w:t>. 2010. Fiordland [map]. Lower Hutt (NZ): GNS</w:t>
      </w:r>
      <w:r>
        <w:t> </w:t>
      </w:r>
      <w:r w:rsidRPr="00052E35">
        <w:t>Science. 1 map +</w:t>
      </w:r>
      <w:r>
        <w:t xml:space="preserve"> </w:t>
      </w:r>
      <w:r w:rsidRPr="00052E35">
        <w:t>97 p., scale 1:250,000. (Institute of Geological &amp; Nuclear Sciences 1:250,000 geological map; 17).</w:t>
      </w:r>
    </w:p>
    <w:p w14:paraId="7FD56F29" w14:textId="6F26F241" w:rsidR="00383E3E" w:rsidRPr="00383E3E" w:rsidRDefault="00383E3E" w:rsidP="00383E3E">
      <w:pPr>
        <w:pStyle w:val="Reference"/>
      </w:pPr>
      <w:r w:rsidRPr="00383E3E">
        <w:t>White PA, Moreau M, Mourot F, Rawlinson ZJ. 2019 (Revised 2022). New Zealand groundwater atlas:</w:t>
      </w:r>
      <w:r w:rsidR="00455388">
        <w:t xml:space="preserve"> </w:t>
      </w:r>
      <w:r w:rsidRPr="00383E3E">
        <w:t>hydrogeological-unit map of New Zealand. Lower Hutt (NZ): GNS Science. [86] p. Consultancy Report 2019/144.</w:t>
      </w:r>
    </w:p>
    <w:p w14:paraId="3A1686B5" w14:textId="6582E5C3" w:rsidR="00383E3E" w:rsidRPr="009F2F3E" w:rsidRDefault="00383E3E" w:rsidP="00383E3E">
      <w:pPr>
        <w:pStyle w:val="Reference"/>
      </w:pPr>
      <w:r w:rsidRPr="009F2F3E">
        <w:t>White PA, Moreau M, Reeves RR, Rae A, Tschritter C.2018. Evolution of geothermal-groundwater circulation systems and geology in the Quaternary Taupo Volcanic Zone: example of the Upper Waikato catchment, New Zealand. 40th Geothermal Workshop,14 – 16 November, Wairakei.</w:t>
      </w:r>
    </w:p>
    <w:p w14:paraId="0D3AAFB0" w14:textId="4E4095D1" w:rsidR="00383E3E" w:rsidRPr="0013300D" w:rsidRDefault="00383E3E" w:rsidP="00383E3E">
      <w:pPr>
        <w:pStyle w:val="Reference"/>
      </w:pPr>
      <w:r w:rsidRPr="0013300D">
        <w:t>White PA</w:t>
      </w:r>
      <w:r w:rsidR="004714B5">
        <w:t>,</w:t>
      </w:r>
      <w:r w:rsidRPr="0013300D">
        <w:t xml:space="preserve"> Raiber</w:t>
      </w:r>
      <w:r w:rsidR="004714B5">
        <w:t xml:space="preserve"> </w:t>
      </w:r>
      <w:r w:rsidRPr="0013300D">
        <w:t>M</w:t>
      </w:r>
      <w:r w:rsidR="004714B5">
        <w:t>,</w:t>
      </w:r>
      <w:r w:rsidRPr="0013300D">
        <w:t xml:space="preserve"> Tschritter C. 2018 Geological model and water budget of the Hauraki Plains, Waikato region. GNS Science consultancy report 2015/232. 63 p.</w:t>
      </w:r>
    </w:p>
    <w:p w14:paraId="1F72B5ED" w14:textId="086C96FC" w:rsidR="00383E3E" w:rsidRPr="003947D8" w:rsidRDefault="00383E3E" w:rsidP="00383E3E">
      <w:pPr>
        <w:pStyle w:val="Reference"/>
      </w:pPr>
      <w:r w:rsidRPr="003947D8">
        <w:t>White PA</w:t>
      </w:r>
      <w:r w:rsidR="004714B5">
        <w:t>,</w:t>
      </w:r>
      <w:r w:rsidRPr="003947D8">
        <w:t xml:space="preserve"> Tschritter C</w:t>
      </w:r>
      <w:r w:rsidR="004714B5">
        <w:t>,</w:t>
      </w:r>
      <w:r w:rsidRPr="003947D8">
        <w:t xml:space="preserve"> Moreau MF. 2016 Geological model of the Upper Waikato River catchment for application to groundwater resources. GNS Science consultancy report 2015/199. 41 p.</w:t>
      </w:r>
    </w:p>
    <w:p w14:paraId="50BAD43D" w14:textId="6DB071FD" w:rsidR="00712FCF" w:rsidRPr="00712FCF" w:rsidRDefault="00383E3E" w:rsidP="00FF2640">
      <w:pPr>
        <w:pStyle w:val="Reference"/>
      </w:pPr>
      <w:r w:rsidRPr="0013300D">
        <w:t>Wilson CJN, Houghton BF, Lloyd</w:t>
      </w:r>
      <w:r w:rsidR="004714B5">
        <w:t xml:space="preserve"> </w:t>
      </w:r>
      <w:r w:rsidRPr="0013300D">
        <w:t>EF. 1986. Volcanic history and evolution of the Maroa-Taupo area, Central North Island. In Smith, I. E. M. (Ed) Late Cenozoic Volcanism in New Zealand. The Royal Society of New Zealand. Bulletin 23. 194-223.</w:t>
      </w:r>
    </w:p>
    <w:sectPr w:rsidR="00712FCF" w:rsidRPr="00712F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050A9"/>
    <w:multiLevelType w:val="hybridMultilevel"/>
    <w:tmpl w:val="53A09F2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0EE87C7D"/>
    <w:multiLevelType w:val="hybridMultilevel"/>
    <w:tmpl w:val="839430CC"/>
    <w:lvl w:ilvl="0" w:tplc="BE043D8C">
      <w:numFmt w:val="bullet"/>
      <w:lvlText w:val="-"/>
      <w:lvlJc w:val="left"/>
      <w:pPr>
        <w:ind w:left="720" w:hanging="360"/>
      </w:pPr>
      <w:rPr>
        <w:rFonts w:ascii="Arial" w:eastAsiaTheme="minorHAnsi" w:hAnsi="Arial" w:cs="Aria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178E62D2"/>
    <w:multiLevelType w:val="hybridMultilevel"/>
    <w:tmpl w:val="BE3EF00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27C43881"/>
    <w:multiLevelType w:val="hybridMultilevel"/>
    <w:tmpl w:val="55A63556"/>
    <w:lvl w:ilvl="0" w:tplc="85F0EB02">
      <w:start w:val="1"/>
      <w:numFmt w:val="bullet"/>
      <w:pStyle w:val="List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33BB38B0"/>
    <w:multiLevelType w:val="multilevel"/>
    <w:tmpl w:val="72EAEB04"/>
    <w:lvl w:ilvl="0">
      <w:start w:val="1"/>
      <w:numFmt w:val="decimal"/>
      <w:pStyle w:val="Heading1"/>
      <w:lvlText w:val="%1.0"/>
      <w:lvlJc w:val="left"/>
      <w:pPr>
        <w:ind w:left="862" w:hanging="862"/>
      </w:pPr>
      <w:rPr>
        <w:rFonts w:hint="default"/>
      </w:rPr>
    </w:lvl>
    <w:lvl w:ilvl="1">
      <w:start w:val="1"/>
      <w:numFmt w:val="decimal"/>
      <w:pStyle w:val="Heading2"/>
      <w:lvlText w:val="%1.%2"/>
      <w:lvlJc w:val="left"/>
      <w:pPr>
        <w:ind w:left="862" w:hanging="86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62" w:hanging="862"/>
      </w:pPr>
      <w:rPr>
        <w:rFonts w:hint="default"/>
      </w:rPr>
    </w:lvl>
    <w:lvl w:ilvl="3">
      <w:start w:val="1"/>
      <w:numFmt w:val="decimal"/>
      <w:pStyle w:val="Heading4"/>
      <w:lvlText w:val="%1.%2.%3.%4"/>
      <w:lvlJc w:val="left"/>
      <w:pPr>
        <w:ind w:left="864" w:hanging="864"/>
      </w:pPr>
      <w:rPr>
        <w:rFonts w:hint="default"/>
      </w:rPr>
    </w:lvl>
    <w:lvl w:ilvl="4">
      <w:start w:val="1"/>
      <w:numFmt w:val="none"/>
      <w:lvlText w:val=""/>
      <w:lvlJc w:val="left"/>
      <w:pPr>
        <w:ind w:left="0" w:firstLine="0"/>
      </w:pPr>
      <w:rPr>
        <w:rFonts w:hint="default"/>
      </w:rPr>
    </w:lvl>
    <w:lvl w:ilvl="5">
      <w:start w:val="1"/>
      <w:numFmt w:val="decimal"/>
      <w:pStyle w:val="Heading6"/>
      <w:lvlText w:val="%5APPENDIX %6  "/>
      <w:lvlJc w:val="left"/>
      <w:pPr>
        <w:ind w:left="862" w:hanging="862"/>
      </w:pPr>
      <w:rPr>
        <w:rFonts w:hint="default"/>
      </w:rPr>
    </w:lvl>
    <w:lvl w:ilvl="6">
      <w:start w:val="1"/>
      <w:numFmt w:val="decimal"/>
      <w:pStyle w:val="Heading7"/>
      <w:lvlText w:val="%5A%6.%7"/>
      <w:lvlJc w:val="left"/>
      <w:pPr>
        <w:ind w:left="862" w:hanging="862"/>
      </w:pPr>
      <w:rPr>
        <w:rFonts w:hint="default"/>
      </w:rPr>
    </w:lvl>
    <w:lvl w:ilvl="7">
      <w:start w:val="1"/>
      <w:numFmt w:val="decimal"/>
      <w:pStyle w:val="Heading8"/>
      <w:lvlText w:val="A%6.%7.%8"/>
      <w:lvlJc w:val="left"/>
      <w:pPr>
        <w:ind w:left="862" w:hanging="862"/>
      </w:pPr>
      <w:rPr>
        <w:rFonts w:hint="default"/>
      </w:rPr>
    </w:lvl>
    <w:lvl w:ilvl="8">
      <w:start w:val="1"/>
      <w:numFmt w:val="decimal"/>
      <w:pStyle w:val="Heading9"/>
      <w:lvlText w:val="A%6.%7.%8.%9"/>
      <w:lvlJc w:val="left"/>
      <w:pPr>
        <w:ind w:left="868" w:hanging="868"/>
      </w:pPr>
      <w:rPr>
        <w:rFonts w:hint="default"/>
      </w:rPr>
    </w:lvl>
  </w:abstractNum>
  <w:abstractNum w:abstractNumId="5" w15:restartNumberingAfterBreak="0">
    <w:nsid w:val="3572265F"/>
    <w:multiLevelType w:val="hybridMultilevel"/>
    <w:tmpl w:val="3EEC560C"/>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52FC4504"/>
    <w:multiLevelType w:val="hybridMultilevel"/>
    <w:tmpl w:val="FD4E466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79377D10"/>
    <w:multiLevelType w:val="multilevel"/>
    <w:tmpl w:val="DD083996"/>
    <w:lvl w:ilvl="0">
      <w:start w:val="1"/>
      <w:numFmt w:val="decimal"/>
      <w:lvlText w:val="%1"/>
      <w:lvlJc w:val="left"/>
      <w:pPr>
        <w:tabs>
          <w:tab w:val="num" w:pos="862"/>
        </w:tabs>
        <w:ind w:left="862" w:hanging="862"/>
      </w:pPr>
      <w:rPr>
        <w:rFonts w:ascii="Arial Bold" w:hAnsi="Arial Bold" w:hint="default"/>
        <w:b/>
        <w:i w:val="0"/>
        <w:caps/>
        <w:kern w:val="0"/>
        <w:sz w:val="24"/>
      </w:rPr>
    </w:lvl>
    <w:lvl w:ilvl="1">
      <w:start w:val="1"/>
      <w:numFmt w:val="decimal"/>
      <w:lvlText w:val="%1.%2"/>
      <w:lvlJc w:val="left"/>
      <w:pPr>
        <w:tabs>
          <w:tab w:val="num" w:pos="862"/>
        </w:tabs>
        <w:ind w:left="862" w:hanging="862"/>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862"/>
        </w:tabs>
        <w:ind w:left="862" w:hanging="862"/>
      </w:pPr>
      <w:rPr>
        <w:rFonts w:ascii="Arial Bold" w:hAnsi="Arial Bold" w:hint="default"/>
        <w:b/>
        <w:i w:val="0"/>
      </w:rPr>
    </w:lvl>
    <w:lvl w:ilvl="3">
      <w:start w:val="1"/>
      <w:numFmt w:val="decimal"/>
      <w:lvlText w:val="%1.%2.%3.%4"/>
      <w:lvlJc w:val="left"/>
      <w:pPr>
        <w:tabs>
          <w:tab w:val="num" w:pos="862"/>
        </w:tabs>
        <w:ind w:left="864" w:hanging="864"/>
      </w:pPr>
      <w:rPr>
        <w:rFonts w:ascii="Arial Bold" w:hAnsi="Arial Bold" w:hint="default"/>
        <w:b/>
        <w:i w:val="0"/>
      </w:rPr>
    </w:lvl>
    <w:lvl w:ilvl="4">
      <w:start w:val="1"/>
      <w:numFmt w:val="none"/>
      <w:suff w:val="nothing"/>
      <w:lvlText w:val=""/>
      <w:lvlJc w:val="left"/>
      <w:pPr>
        <w:ind w:left="0" w:firstLine="0"/>
      </w:pPr>
      <w:rPr>
        <w:rFonts w:ascii="Arial Bold" w:hAnsi="Arial Bold" w:hint="default"/>
        <w:b/>
        <w:i w:val="0"/>
        <w:sz w:val="24"/>
      </w:rPr>
    </w:lvl>
    <w:lvl w:ilvl="5">
      <w:start w:val="1"/>
      <w:numFmt w:val="decimal"/>
      <w:lvlText w:val="Appendix %6:"/>
      <w:lvlJc w:val="left"/>
      <w:pPr>
        <w:tabs>
          <w:tab w:val="num" w:pos="567"/>
        </w:tabs>
        <w:ind w:left="567" w:hanging="567"/>
      </w:pPr>
      <w:rPr>
        <w:rFonts w:ascii="Arial Bold" w:hAnsi="Arial Bold" w:hint="default"/>
        <w:b/>
        <w:i w:val="0"/>
        <w:caps/>
        <w:color w:val="auto"/>
        <w:sz w:val="24"/>
      </w:rPr>
    </w:lvl>
    <w:lvl w:ilvl="6">
      <w:start w:val="1"/>
      <w:numFmt w:val="decimal"/>
      <w:lvlText w:val="A%6.%7"/>
      <w:lvlJc w:val="left"/>
      <w:pPr>
        <w:tabs>
          <w:tab w:val="num" w:pos="1134"/>
        </w:tabs>
        <w:ind w:left="1134" w:hanging="414"/>
      </w:pPr>
      <w:rPr>
        <w:rFonts w:ascii="Arial Bold" w:hAnsi="Arial Bold" w:hint="default"/>
        <w:b/>
        <w:i w:val="0"/>
      </w:rPr>
    </w:lvl>
    <w:lvl w:ilvl="7">
      <w:start w:val="1"/>
      <w:numFmt w:val="decimal"/>
      <w:lvlText w:val="A%8.%6.%7"/>
      <w:lvlJc w:val="left"/>
      <w:pPr>
        <w:tabs>
          <w:tab w:val="num" w:pos="1701"/>
        </w:tabs>
        <w:ind w:left="1701" w:hanging="261"/>
      </w:pPr>
      <w:rPr>
        <w:rFonts w:ascii="Arial Bold" w:hAnsi="Arial Bold" w:hint="default"/>
        <w:b/>
        <w:i w:val="0"/>
      </w:rPr>
    </w:lvl>
    <w:lvl w:ilvl="8">
      <w:start w:val="1"/>
      <w:numFmt w:val="decimal"/>
      <w:lvlText w:val="A%9.%6.%7.%8"/>
      <w:lvlJc w:val="left"/>
      <w:pPr>
        <w:tabs>
          <w:tab w:val="num" w:pos="567"/>
        </w:tabs>
        <w:ind w:left="720" w:hanging="720"/>
      </w:pPr>
      <w:rPr>
        <w:rFonts w:ascii="Arial Bold" w:hAnsi="Arial Bold" w:hint="default"/>
        <w:b/>
        <w:i w:val="0"/>
      </w:rPr>
    </w:lvl>
  </w:abstractNum>
  <w:abstractNum w:abstractNumId="8" w15:restartNumberingAfterBreak="0">
    <w:nsid w:val="7DFD1A10"/>
    <w:multiLevelType w:val="hybridMultilevel"/>
    <w:tmpl w:val="298ADA8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7E1A0BAF"/>
    <w:multiLevelType w:val="hybridMultilevel"/>
    <w:tmpl w:val="D6565BAA"/>
    <w:lvl w:ilvl="0" w:tplc="14090003">
      <w:start w:val="1"/>
      <w:numFmt w:val="bullet"/>
      <w:lvlText w:val="o"/>
      <w:lvlJc w:val="left"/>
      <w:pPr>
        <w:ind w:left="720" w:hanging="360"/>
      </w:pPr>
      <w:rPr>
        <w:rFonts w:ascii="Courier New" w:hAnsi="Courier New" w:cs="Courier New"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1901356803">
    <w:abstractNumId w:val="4"/>
  </w:num>
  <w:num w:numId="2" w16cid:durableId="1259828782">
    <w:abstractNumId w:val="7"/>
  </w:num>
  <w:num w:numId="3" w16cid:durableId="1452552647">
    <w:abstractNumId w:val="3"/>
  </w:num>
  <w:num w:numId="4" w16cid:durableId="1357653631">
    <w:abstractNumId w:val="2"/>
  </w:num>
  <w:num w:numId="5" w16cid:durableId="1037242645">
    <w:abstractNumId w:val="1"/>
  </w:num>
  <w:num w:numId="6" w16cid:durableId="1364475880">
    <w:abstractNumId w:val="6"/>
  </w:num>
  <w:num w:numId="7" w16cid:durableId="1498350757">
    <w:abstractNumId w:val="5"/>
  </w:num>
  <w:num w:numId="8" w16cid:durableId="1406564000">
    <w:abstractNumId w:val="9"/>
  </w:num>
  <w:num w:numId="9" w16cid:durableId="835726454">
    <w:abstractNumId w:val="8"/>
  </w:num>
  <w:num w:numId="10" w16cid:durableId="761031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85A"/>
    <w:rsid w:val="00023264"/>
    <w:rsid w:val="00046B32"/>
    <w:rsid w:val="00064083"/>
    <w:rsid w:val="00092BA9"/>
    <w:rsid w:val="000A0E1B"/>
    <w:rsid w:val="000C52B6"/>
    <w:rsid w:val="000E47EE"/>
    <w:rsid w:val="000F4360"/>
    <w:rsid w:val="000F61B6"/>
    <w:rsid w:val="00103788"/>
    <w:rsid w:val="00123D38"/>
    <w:rsid w:val="0013300D"/>
    <w:rsid w:val="00180A66"/>
    <w:rsid w:val="001A4254"/>
    <w:rsid w:val="001A6EF3"/>
    <w:rsid w:val="001F0D8C"/>
    <w:rsid w:val="001F6D4E"/>
    <w:rsid w:val="00216101"/>
    <w:rsid w:val="002807A8"/>
    <w:rsid w:val="002A1E73"/>
    <w:rsid w:val="002B4506"/>
    <w:rsid w:val="002D3B8F"/>
    <w:rsid w:val="002D7229"/>
    <w:rsid w:val="00306B0D"/>
    <w:rsid w:val="00316C03"/>
    <w:rsid w:val="00351114"/>
    <w:rsid w:val="00351AE1"/>
    <w:rsid w:val="00353035"/>
    <w:rsid w:val="003601E1"/>
    <w:rsid w:val="00363D05"/>
    <w:rsid w:val="00383E3E"/>
    <w:rsid w:val="003947D8"/>
    <w:rsid w:val="00395F2C"/>
    <w:rsid w:val="003B73EA"/>
    <w:rsid w:val="00406954"/>
    <w:rsid w:val="0044351C"/>
    <w:rsid w:val="00455388"/>
    <w:rsid w:val="004714B5"/>
    <w:rsid w:val="004B70F5"/>
    <w:rsid w:val="004C0662"/>
    <w:rsid w:val="004C07B6"/>
    <w:rsid w:val="004E07F8"/>
    <w:rsid w:val="005050F8"/>
    <w:rsid w:val="0051712E"/>
    <w:rsid w:val="00535F8E"/>
    <w:rsid w:val="005464A3"/>
    <w:rsid w:val="00555147"/>
    <w:rsid w:val="00555C25"/>
    <w:rsid w:val="0059609D"/>
    <w:rsid w:val="005A1368"/>
    <w:rsid w:val="005A3A1B"/>
    <w:rsid w:val="005B285A"/>
    <w:rsid w:val="005B3892"/>
    <w:rsid w:val="005B5118"/>
    <w:rsid w:val="005F54A6"/>
    <w:rsid w:val="00600B05"/>
    <w:rsid w:val="006111A1"/>
    <w:rsid w:val="006217BD"/>
    <w:rsid w:val="006377AD"/>
    <w:rsid w:val="00651AA6"/>
    <w:rsid w:val="00656AA4"/>
    <w:rsid w:val="00674AF8"/>
    <w:rsid w:val="00675655"/>
    <w:rsid w:val="0067630D"/>
    <w:rsid w:val="00687FAA"/>
    <w:rsid w:val="006B0CF8"/>
    <w:rsid w:val="006D4498"/>
    <w:rsid w:val="00704877"/>
    <w:rsid w:val="00704E62"/>
    <w:rsid w:val="00712FCF"/>
    <w:rsid w:val="00724AC1"/>
    <w:rsid w:val="007262BD"/>
    <w:rsid w:val="00734CEB"/>
    <w:rsid w:val="007423BE"/>
    <w:rsid w:val="00750071"/>
    <w:rsid w:val="0075045A"/>
    <w:rsid w:val="0077016F"/>
    <w:rsid w:val="00783E8D"/>
    <w:rsid w:val="00787CC3"/>
    <w:rsid w:val="007943EB"/>
    <w:rsid w:val="007E396F"/>
    <w:rsid w:val="0089217B"/>
    <w:rsid w:val="008E789D"/>
    <w:rsid w:val="009019DA"/>
    <w:rsid w:val="00926237"/>
    <w:rsid w:val="00931B31"/>
    <w:rsid w:val="00935D37"/>
    <w:rsid w:val="0094214B"/>
    <w:rsid w:val="00954AAB"/>
    <w:rsid w:val="00970D6C"/>
    <w:rsid w:val="00983BA4"/>
    <w:rsid w:val="00985F77"/>
    <w:rsid w:val="009A008D"/>
    <w:rsid w:val="009B72D3"/>
    <w:rsid w:val="009D5F4F"/>
    <w:rsid w:val="009E597E"/>
    <w:rsid w:val="009F1B41"/>
    <w:rsid w:val="009F2F3E"/>
    <w:rsid w:val="009F4057"/>
    <w:rsid w:val="00A06F76"/>
    <w:rsid w:val="00A428F0"/>
    <w:rsid w:val="00A64140"/>
    <w:rsid w:val="00A770F8"/>
    <w:rsid w:val="00A96874"/>
    <w:rsid w:val="00AF47A3"/>
    <w:rsid w:val="00B10210"/>
    <w:rsid w:val="00B11902"/>
    <w:rsid w:val="00B26E53"/>
    <w:rsid w:val="00B44805"/>
    <w:rsid w:val="00B7263F"/>
    <w:rsid w:val="00B80C46"/>
    <w:rsid w:val="00BC252F"/>
    <w:rsid w:val="00BD2845"/>
    <w:rsid w:val="00BE40E0"/>
    <w:rsid w:val="00C509A0"/>
    <w:rsid w:val="00C844EE"/>
    <w:rsid w:val="00C855D4"/>
    <w:rsid w:val="00CA4C14"/>
    <w:rsid w:val="00CB5211"/>
    <w:rsid w:val="00CB769F"/>
    <w:rsid w:val="00CB7CDF"/>
    <w:rsid w:val="00CE082D"/>
    <w:rsid w:val="00CE2AA4"/>
    <w:rsid w:val="00CF2AE4"/>
    <w:rsid w:val="00D13CA8"/>
    <w:rsid w:val="00D27917"/>
    <w:rsid w:val="00D333E2"/>
    <w:rsid w:val="00D348AD"/>
    <w:rsid w:val="00D3635E"/>
    <w:rsid w:val="00D56D8B"/>
    <w:rsid w:val="00D6061A"/>
    <w:rsid w:val="00D65EEF"/>
    <w:rsid w:val="00D731BE"/>
    <w:rsid w:val="00DA3E32"/>
    <w:rsid w:val="00DB3F3B"/>
    <w:rsid w:val="00DC0CD4"/>
    <w:rsid w:val="00DD0947"/>
    <w:rsid w:val="00DD116A"/>
    <w:rsid w:val="00DD6964"/>
    <w:rsid w:val="00DE10B5"/>
    <w:rsid w:val="00E22045"/>
    <w:rsid w:val="00E323ED"/>
    <w:rsid w:val="00E407F6"/>
    <w:rsid w:val="00E55D98"/>
    <w:rsid w:val="00EB2298"/>
    <w:rsid w:val="00EC476B"/>
    <w:rsid w:val="00EC564B"/>
    <w:rsid w:val="00F0346F"/>
    <w:rsid w:val="00F061AA"/>
    <w:rsid w:val="00F10992"/>
    <w:rsid w:val="00F30A82"/>
    <w:rsid w:val="00F42597"/>
    <w:rsid w:val="00F47FBC"/>
    <w:rsid w:val="00F54D4F"/>
    <w:rsid w:val="00F945F3"/>
    <w:rsid w:val="00FB3A2A"/>
    <w:rsid w:val="00FB5A1F"/>
    <w:rsid w:val="00FB6DFD"/>
    <w:rsid w:val="00FC22BF"/>
    <w:rsid w:val="00FC3347"/>
    <w:rsid w:val="00FE0D7A"/>
    <w:rsid w:val="00FF2640"/>
    <w:rsid w:val="00FF2A84"/>
    <w:rsid w:val="00FF761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3FDA5"/>
  <w15:chartTrackingRefBased/>
  <w15:docId w15:val="{B42B6127-E1F8-4AF7-AADF-46F415182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C0662"/>
    <w:pPr>
      <w:keepNext/>
      <w:pageBreakBefore/>
      <w:numPr>
        <w:numId w:val="1"/>
      </w:numPr>
      <w:spacing w:after="120" w:line="280" w:lineRule="atLeast"/>
      <w:outlineLvl w:val="0"/>
    </w:pPr>
    <w:rPr>
      <w:rFonts w:ascii="Arial" w:eastAsia="Times New Roman" w:hAnsi="Arial" w:cs="Arial"/>
      <w:b/>
      <w:bCs/>
      <w:caps/>
      <w:kern w:val="32"/>
      <w:sz w:val="24"/>
      <w:lang w:eastAsia="en-AU"/>
    </w:rPr>
  </w:style>
  <w:style w:type="paragraph" w:styleId="Heading2">
    <w:name w:val="heading 2"/>
    <w:basedOn w:val="Normal"/>
    <w:next w:val="Normal"/>
    <w:link w:val="Heading2Char"/>
    <w:qFormat/>
    <w:rsid w:val="004C0662"/>
    <w:pPr>
      <w:keepNext/>
      <w:numPr>
        <w:ilvl w:val="1"/>
        <w:numId w:val="1"/>
      </w:numPr>
      <w:spacing w:before="280" w:after="220" w:line="280" w:lineRule="atLeast"/>
      <w:outlineLvl w:val="1"/>
    </w:pPr>
    <w:rPr>
      <w:rFonts w:ascii="Arial Bold" w:eastAsia="Times New Roman" w:hAnsi="Arial Bold" w:cs="Arial"/>
      <w:b/>
      <w:bCs/>
      <w:iCs/>
      <w:sz w:val="24"/>
      <w:lang w:eastAsia="en-AU"/>
    </w:rPr>
  </w:style>
  <w:style w:type="paragraph" w:styleId="Heading3">
    <w:name w:val="heading 3"/>
    <w:basedOn w:val="Normal"/>
    <w:next w:val="Normal"/>
    <w:link w:val="Heading3Char"/>
    <w:qFormat/>
    <w:rsid w:val="004C0662"/>
    <w:pPr>
      <w:keepNext/>
      <w:numPr>
        <w:ilvl w:val="2"/>
        <w:numId w:val="1"/>
      </w:numPr>
      <w:spacing w:before="240" w:after="220" w:line="280" w:lineRule="atLeast"/>
      <w:outlineLvl w:val="2"/>
    </w:pPr>
    <w:rPr>
      <w:rFonts w:ascii="Arial" w:eastAsia="Times New Roman" w:hAnsi="Arial" w:cs="Arial"/>
      <w:b/>
      <w:bCs/>
      <w:szCs w:val="26"/>
      <w:lang w:eastAsia="en-AU"/>
    </w:rPr>
  </w:style>
  <w:style w:type="paragraph" w:styleId="Heading4">
    <w:name w:val="heading 4"/>
    <w:basedOn w:val="Heading5"/>
    <w:next w:val="Normal"/>
    <w:link w:val="Heading4Char"/>
    <w:qFormat/>
    <w:rsid w:val="004C0662"/>
    <w:pPr>
      <w:keepLines w:val="0"/>
      <w:numPr>
        <w:ilvl w:val="3"/>
        <w:numId w:val="1"/>
      </w:numPr>
      <w:spacing w:before="240" w:after="220" w:line="280" w:lineRule="atLeast"/>
      <w:outlineLvl w:val="3"/>
    </w:pPr>
    <w:rPr>
      <w:rFonts w:ascii="Arial" w:eastAsia="Times New Roman" w:hAnsi="Arial" w:cs="Arial"/>
      <w:b/>
      <w:bCs/>
      <w:iCs/>
      <w:color w:val="auto"/>
      <w:szCs w:val="26"/>
      <w:lang w:eastAsia="en-AU"/>
    </w:rPr>
  </w:style>
  <w:style w:type="paragraph" w:styleId="Heading5">
    <w:name w:val="heading 5"/>
    <w:basedOn w:val="Normal"/>
    <w:next w:val="Normal"/>
    <w:link w:val="Heading5Char"/>
    <w:uiPriority w:val="9"/>
    <w:semiHidden/>
    <w:unhideWhenUsed/>
    <w:qFormat/>
    <w:rsid w:val="004C066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rsid w:val="004C0662"/>
    <w:pPr>
      <w:keepNext/>
      <w:pageBreakBefore/>
      <w:numPr>
        <w:ilvl w:val="5"/>
        <w:numId w:val="1"/>
      </w:numPr>
      <w:tabs>
        <w:tab w:val="left" w:pos="1701"/>
      </w:tabs>
      <w:spacing w:before="480" w:after="120" w:line="280" w:lineRule="atLeast"/>
      <w:outlineLvl w:val="5"/>
    </w:pPr>
    <w:rPr>
      <w:rFonts w:ascii="Arial" w:eastAsia="Times New Roman" w:hAnsi="Arial" w:cs="Arial"/>
      <w:b/>
      <w:bCs/>
      <w:caps/>
      <w:sz w:val="24"/>
      <w:lang w:eastAsia="en-AU"/>
    </w:rPr>
  </w:style>
  <w:style w:type="paragraph" w:styleId="Heading7">
    <w:name w:val="heading 7"/>
    <w:basedOn w:val="Normal"/>
    <w:next w:val="Normal"/>
    <w:link w:val="Heading7Char"/>
    <w:rsid w:val="004C0662"/>
    <w:pPr>
      <w:keepNext/>
      <w:numPr>
        <w:ilvl w:val="6"/>
        <w:numId w:val="1"/>
      </w:numPr>
      <w:spacing w:before="280" w:after="220" w:line="280" w:lineRule="atLeast"/>
      <w:outlineLvl w:val="6"/>
    </w:pPr>
    <w:rPr>
      <w:rFonts w:ascii="Arial Bold" w:eastAsia="Times New Roman" w:hAnsi="Arial Bold" w:cs="Arial"/>
      <w:b/>
      <w:sz w:val="24"/>
      <w:szCs w:val="24"/>
      <w:lang w:eastAsia="en-AU"/>
    </w:rPr>
  </w:style>
  <w:style w:type="paragraph" w:styleId="Heading8">
    <w:name w:val="heading 8"/>
    <w:basedOn w:val="Normal"/>
    <w:next w:val="Normal"/>
    <w:link w:val="Heading8Char"/>
    <w:rsid w:val="004C0662"/>
    <w:pPr>
      <w:keepNext/>
      <w:numPr>
        <w:ilvl w:val="7"/>
        <w:numId w:val="1"/>
      </w:numPr>
      <w:spacing w:before="240" w:after="220" w:line="280" w:lineRule="atLeast"/>
      <w:outlineLvl w:val="7"/>
    </w:pPr>
    <w:rPr>
      <w:rFonts w:ascii="Arial" w:eastAsia="Times New Roman" w:hAnsi="Arial" w:cs="Arial"/>
      <w:b/>
      <w:iCs/>
      <w:szCs w:val="24"/>
      <w:lang w:eastAsia="en-AU"/>
    </w:rPr>
  </w:style>
  <w:style w:type="paragraph" w:styleId="Heading9">
    <w:name w:val="heading 9"/>
    <w:aliases w:val="Appendix 1"/>
    <w:basedOn w:val="Normal"/>
    <w:next w:val="Normal"/>
    <w:link w:val="Heading9Char"/>
    <w:semiHidden/>
    <w:rsid w:val="004C0662"/>
    <w:pPr>
      <w:keepNext/>
      <w:numPr>
        <w:ilvl w:val="8"/>
        <w:numId w:val="1"/>
      </w:numPr>
      <w:spacing w:before="240" w:after="220" w:line="280" w:lineRule="atLeast"/>
      <w:outlineLvl w:val="8"/>
    </w:pPr>
    <w:rPr>
      <w:rFonts w:ascii="Arial" w:eastAsia="Times New Roman" w:hAnsi="Arial" w:cs="Arial"/>
      <w:b/>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06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662"/>
    <w:rPr>
      <w:rFonts w:ascii="Segoe UI" w:hAnsi="Segoe UI" w:cs="Segoe UI"/>
      <w:sz w:val="18"/>
      <w:szCs w:val="18"/>
    </w:rPr>
  </w:style>
  <w:style w:type="paragraph" w:customStyle="1" w:styleId="Reference">
    <w:name w:val="Reference"/>
    <w:basedOn w:val="Normal"/>
    <w:next w:val="Normal"/>
    <w:link w:val="ReferenceChar"/>
    <w:rsid w:val="004C0662"/>
    <w:pPr>
      <w:keepLines/>
      <w:spacing w:before="100" w:after="0" w:line="280" w:lineRule="atLeast"/>
      <w:ind w:left="720" w:hanging="720"/>
    </w:pPr>
    <w:rPr>
      <w:rFonts w:ascii="Arial" w:eastAsia="Times New Roman" w:hAnsi="Arial" w:cs="Times New Roman"/>
      <w:sz w:val="20"/>
      <w:lang w:eastAsia="en-AU"/>
    </w:rPr>
  </w:style>
  <w:style w:type="character" w:customStyle="1" w:styleId="Heading1Char">
    <w:name w:val="Heading 1 Char"/>
    <w:basedOn w:val="DefaultParagraphFont"/>
    <w:link w:val="Heading1"/>
    <w:rsid w:val="004C0662"/>
    <w:rPr>
      <w:rFonts w:ascii="Arial" w:eastAsia="Times New Roman" w:hAnsi="Arial" w:cs="Arial"/>
      <w:b/>
      <w:bCs/>
      <w:caps/>
      <w:kern w:val="32"/>
      <w:sz w:val="24"/>
      <w:lang w:eastAsia="en-AU"/>
    </w:rPr>
  </w:style>
  <w:style w:type="character" w:customStyle="1" w:styleId="Heading2Char">
    <w:name w:val="Heading 2 Char"/>
    <w:basedOn w:val="DefaultParagraphFont"/>
    <w:link w:val="Heading2"/>
    <w:rsid w:val="004C0662"/>
    <w:rPr>
      <w:rFonts w:ascii="Arial Bold" w:eastAsia="Times New Roman" w:hAnsi="Arial Bold" w:cs="Arial"/>
      <w:b/>
      <w:bCs/>
      <w:iCs/>
      <w:sz w:val="24"/>
      <w:lang w:eastAsia="en-AU"/>
    </w:rPr>
  </w:style>
  <w:style w:type="character" w:customStyle="1" w:styleId="Heading3Char">
    <w:name w:val="Heading 3 Char"/>
    <w:basedOn w:val="DefaultParagraphFont"/>
    <w:link w:val="Heading3"/>
    <w:rsid w:val="004C0662"/>
    <w:rPr>
      <w:rFonts w:ascii="Arial" w:eastAsia="Times New Roman" w:hAnsi="Arial" w:cs="Arial"/>
      <w:b/>
      <w:bCs/>
      <w:szCs w:val="26"/>
      <w:lang w:eastAsia="en-AU"/>
    </w:rPr>
  </w:style>
  <w:style w:type="character" w:customStyle="1" w:styleId="Heading4Char">
    <w:name w:val="Heading 4 Char"/>
    <w:basedOn w:val="DefaultParagraphFont"/>
    <w:link w:val="Heading4"/>
    <w:rsid w:val="004C0662"/>
    <w:rPr>
      <w:rFonts w:ascii="Arial" w:eastAsia="Times New Roman" w:hAnsi="Arial" w:cs="Arial"/>
      <w:b/>
      <w:bCs/>
      <w:iCs/>
      <w:szCs w:val="26"/>
      <w:lang w:eastAsia="en-AU"/>
    </w:rPr>
  </w:style>
  <w:style w:type="character" w:customStyle="1" w:styleId="Heading6Char">
    <w:name w:val="Heading 6 Char"/>
    <w:basedOn w:val="DefaultParagraphFont"/>
    <w:link w:val="Heading6"/>
    <w:rsid w:val="004C0662"/>
    <w:rPr>
      <w:rFonts w:ascii="Arial" w:eastAsia="Times New Roman" w:hAnsi="Arial" w:cs="Arial"/>
      <w:b/>
      <w:bCs/>
      <w:caps/>
      <w:sz w:val="24"/>
      <w:lang w:eastAsia="en-AU"/>
    </w:rPr>
  </w:style>
  <w:style w:type="character" w:customStyle="1" w:styleId="Heading7Char">
    <w:name w:val="Heading 7 Char"/>
    <w:basedOn w:val="DefaultParagraphFont"/>
    <w:link w:val="Heading7"/>
    <w:rsid w:val="004C0662"/>
    <w:rPr>
      <w:rFonts w:ascii="Arial Bold" w:eastAsia="Times New Roman" w:hAnsi="Arial Bold" w:cs="Arial"/>
      <w:b/>
      <w:sz w:val="24"/>
      <w:szCs w:val="24"/>
      <w:lang w:eastAsia="en-AU"/>
    </w:rPr>
  </w:style>
  <w:style w:type="character" w:customStyle="1" w:styleId="Heading8Char">
    <w:name w:val="Heading 8 Char"/>
    <w:basedOn w:val="DefaultParagraphFont"/>
    <w:link w:val="Heading8"/>
    <w:rsid w:val="004C0662"/>
    <w:rPr>
      <w:rFonts w:ascii="Arial" w:eastAsia="Times New Roman" w:hAnsi="Arial" w:cs="Arial"/>
      <w:b/>
      <w:iCs/>
      <w:szCs w:val="24"/>
      <w:lang w:eastAsia="en-AU"/>
    </w:rPr>
  </w:style>
  <w:style w:type="character" w:customStyle="1" w:styleId="Heading9Char">
    <w:name w:val="Heading 9 Char"/>
    <w:aliases w:val="Appendix 1 Char"/>
    <w:basedOn w:val="DefaultParagraphFont"/>
    <w:link w:val="Heading9"/>
    <w:semiHidden/>
    <w:rsid w:val="004C0662"/>
    <w:rPr>
      <w:rFonts w:ascii="Arial" w:eastAsia="Times New Roman" w:hAnsi="Arial" w:cs="Arial"/>
      <w:b/>
      <w:lang w:eastAsia="en-AU"/>
    </w:rPr>
  </w:style>
  <w:style w:type="character" w:customStyle="1" w:styleId="Heading5Char">
    <w:name w:val="Heading 5 Char"/>
    <w:basedOn w:val="DefaultParagraphFont"/>
    <w:link w:val="Heading5"/>
    <w:uiPriority w:val="9"/>
    <w:semiHidden/>
    <w:rsid w:val="004C0662"/>
    <w:rPr>
      <w:rFonts w:asciiTheme="majorHAnsi" w:eastAsiaTheme="majorEastAsia" w:hAnsiTheme="majorHAnsi" w:cstheme="majorBidi"/>
      <w:color w:val="2F5496" w:themeColor="accent1" w:themeShade="BF"/>
    </w:rPr>
  </w:style>
  <w:style w:type="paragraph" w:styleId="ListBullet">
    <w:name w:val="List Bullet"/>
    <w:basedOn w:val="Normal"/>
    <w:next w:val="Normal"/>
    <w:rsid w:val="0051712E"/>
    <w:pPr>
      <w:keepLines/>
      <w:numPr>
        <w:numId w:val="3"/>
      </w:numPr>
      <w:tabs>
        <w:tab w:val="left" w:pos="567"/>
      </w:tabs>
      <w:spacing w:before="100" w:after="0" w:line="280" w:lineRule="atLeast"/>
      <w:ind w:left="567" w:hanging="567"/>
      <w:jc w:val="both"/>
    </w:pPr>
    <w:rPr>
      <w:rFonts w:ascii="Arial" w:eastAsia="Times New Roman" w:hAnsi="Arial" w:cs="Times New Roman"/>
      <w:lang w:eastAsia="en-NZ"/>
    </w:rPr>
  </w:style>
  <w:style w:type="character" w:styleId="CommentReference">
    <w:name w:val="annotation reference"/>
    <w:basedOn w:val="DefaultParagraphFont"/>
    <w:uiPriority w:val="99"/>
    <w:semiHidden/>
    <w:unhideWhenUsed/>
    <w:rsid w:val="00D27917"/>
    <w:rPr>
      <w:sz w:val="16"/>
      <w:szCs w:val="16"/>
    </w:rPr>
  </w:style>
  <w:style w:type="paragraph" w:styleId="CommentText">
    <w:name w:val="annotation text"/>
    <w:basedOn w:val="Normal"/>
    <w:link w:val="CommentTextChar"/>
    <w:uiPriority w:val="99"/>
    <w:semiHidden/>
    <w:unhideWhenUsed/>
    <w:rsid w:val="00D27917"/>
    <w:pPr>
      <w:spacing w:line="240" w:lineRule="auto"/>
    </w:pPr>
    <w:rPr>
      <w:sz w:val="20"/>
      <w:szCs w:val="20"/>
    </w:rPr>
  </w:style>
  <w:style w:type="character" w:customStyle="1" w:styleId="CommentTextChar">
    <w:name w:val="Comment Text Char"/>
    <w:basedOn w:val="DefaultParagraphFont"/>
    <w:link w:val="CommentText"/>
    <w:uiPriority w:val="99"/>
    <w:semiHidden/>
    <w:rsid w:val="00D27917"/>
    <w:rPr>
      <w:sz w:val="20"/>
      <w:szCs w:val="20"/>
    </w:rPr>
  </w:style>
  <w:style w:type="paragraph" w:styleId="CommentSubject">
    <w:name w:val="annotation subject"/>
    <w:basedOn w:val="CommentText"/>
    <w:next w:val="CommentText"/>
    <w:link w:val="CommentSubjectChar"/>
    <w:uiPriority w:val="99"/>
    <w:semiHidden/>
    <w:unhideWhenUsed/>
    <w:rsid w:val="00D27917"/>
    <w:rPr>
      <w:b/>
      <w:bCs/>
    </w:rPr>
  </w:style>
  <w:style w:type="character" w:customStyle="1" w:styleId="CommentSubjectChar">
    <w:name w:val="Comment Subject Char"/>
    <w:basedOn w:val="CommentTextChar"/>
    <w:link w:val="CommentSubject"/>
    <w:uiPriority w:val="99"/>
    <w:semiHidden/>
    <w:rsid w:val="00D27917"/>
    <w:rPr>
      <w:b/>
      <w:bCs/>
      <w:sz w:val="20"/>
      <w:szCs w:val="20"/>
    </w:rPr>
  </w:style>
  <w:style w:type="paragraph" w:styleId="ListParagraph">
    <w:name w:val="List Paragraph"/>
    <w:basedOn w:val="Normal"/>
    <w:uiPriority w:val="34"/>
    <w:qFormat/>
    <w:rsid w:val="00DB3F3B"/>
    <w:pPr>
      <w:ind w:left="720"/>
      <w:contextualSpacing/>
    </w:pPr>
  </w:style>
  <w:style w:type="character" w:customStyle="1" w:styleId="tx1">
    <w:name w:val="tx1"/>
    <w:basedOn w:val="DefaultParagraphFont"/>
    <w:rsid w:val="004C07B6"/>
    <w:rPr>
      <w:b/>
      <w:bCs/>
    </w:rPr>
  </w:style>
  <w:style w:type="character" w:customStyle="1" w:styleId="normaltextrun">
    <w:name w:val="normaltextrun"/>
    <w:basedOn w:val="DefaultParagraphFont"/>
    <w:rsid w:val="00783E8D"/>
  </w:style>
  <w:style w:type="character" w:customStyle="1" w:styleId="ReferenceChar">
    <w:name w:val="Reference Char"/>
    <w:basedOn w:val="DefaultParagraphFont"/>
    <w:link w:val="Reference"/>
    <w:locked/>
    <w:rsid w:val="00B11902"/>
    <w:rPr>
      <w:rFonts w:ascii="Arial" w:eastAsia="Times New Roman" w:hAnsi="Arial" w:cs="Times New Roman"/>
      <w:sz w:val="20"/>
      <w:lang w:eastAsia="en-AU"/>
    </w:rPr>
  </w:style>
  <w:style w:type="paragraph" w:customStyle="1" w:styleId="TableTextAlpha">
    <w:name w:val="Table Text Alpha"/>
    <w:basedOn w:val="Normal"/>
    <w:link w:val="TableTextAlphaChar"/>
    <w:rsid w:val="00712FCF"/>
    <w:pPr>
      <w:spacing w:before="40" w:after="40" w:line="280" w:lineRule="atLeast"/>
    </w:pPr>
    <w:rPr>
      <w:rFonts w:ascii="Arial" w:eastAsia="Times New Roman" w:hAnsi="Arial" w:cs="Times New Roman"/>
      <w:sz w:val="18"/>
      <w:lang w:eastAsia="en-AU"/>
    </w:rPr>
  </w:style>
  <w:style w:type="character" w:customStyle="1" w:styleId="TableTextAlphaChar">
    <w:name w:val="Table Text Alpha Char"/>
    <w:link w:val="TableTextAlpha"/>
    <w:rsid w:val="00712FCF"/>
    <w:rPr>
      <w:rFonts w:ascii="Arial" w:eastAsia="Times New Roman" w:hAnsi="Arial" w:cs="Times New Roman"/>
      <w:sz w:val="18"/>
      <w:lang w:eastAsia="en-AU"/>
    </w:rPr>
  </w:style>
  <w:style w:type="character" w:styleId="Hyperlink">
    <w:name w:val="Hyperlink"/>
    <w:basedOn w:val="DefaultParagraphFont"/>
    <w:uiPriority w:val="99"/>
    <w:semiHidden/>
    <w:unhideWhenUsed/>
    <w:rsid w:val="001A6E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95291">
      <w:bodyDiv w:val="1"/>
      <w:marLeft w:val="0"/>
      <w:marRight w:val="0"/>
      <w:marTop w:val="0"/>
      <w:marBottom w:val="0"/>
      <w:divBdr>
        <w:top w:val="none" w:sz="0" w:space="0" w:color="auto"/>
        <w:left w:val="none" w:sz="0" w:space="0" w:color="auto"/>
        <w:bottom w:val="none" w:sz="0" w:space="0" w:color="auto"/>
        <w:right w:val="none" w:sz="0" w:space="0" w:color="auto"/>
      </w:divBdr>
    </w:div>
    <w:div w:id="245530302">
      <w:bodyDiv w:val="1"/>
      <w:marLeft w:val="0"/>
      <w:marRight w:val="0"/>
      <w:marTop w:val="0"/>
      <w:marBottom w:val="0"/>
      <w:divBdr>
        <w:top w:val="none" w:sz="0" w:space="0" w:color="auto"/>
        <w:left w:val="none" w:sz="0" w:space="0" w:color="auto"/>
        <w:bottom w:val="none" w:sz="0" w:space="0" w:color="auto"/>
        <w:right w:val="none" w:sz="0" w:space="0" w:color="auto"/>
      </w:divBdr>
    </w:div>
    <w:div w:id="262568418">
      <w:bodyDiv w:val="1"/>
      <w:marLeft w:val="0"/>
      <w:marRight w:val="0"/>
      <w:marTop w:val="0"/>
      <w:marBottom w:val="0"/>
      <w:divBdr>
        <w:top w:val="none" w:sz="0" w:space="0" w:color="auto"/>
        <w:left w:val="none" w:sz="0" w:space="0" w:color="auto"/>
        <w:bottom w:val="none" w:sz="0" w:space="0" w:color="auto"/>
        <w:right w:val="none" w:sz="0" w:space="0" w:color="auto"/>
      </w:divBdr>
    </w:div>
    <w:div w:id="369111398">
      <w:bodyDiv w:val="1"/>
      <w:marLeft w:val="0"/>
      <w:marRight w:val="0"/>
      <w:marTop w:val="0"/>
      <w:marBottom w:val="0"/>
      <w:divBdr>
        <w:top w:val="none" w:sz="0" w:space="0" w:color="auto"/>
        <w:left w:val="none" w:sz="0" w:space="0" w:color="auto"/>
        <w:bottom w:val="none" w:sz="0" w:space="0" w:color="auto"/>
        <w:right w:val="none" w:sz="0" w:space="0" w:color="auto"/>
      </w:divBdr>
    </w:div>
    <w:div w:id="474567943">
      <w:bodyDiv w:val="1"/>
      <w:marLeft w:val="0"/>
      <w:marRight w:val="0"/>
      <w:marTop w:val="0"/>
      <w:marBottom w:val="0"/>
      <w:divBdr>
        <w:top w:val="none" w:sz="0" w:space="0" w:color="auto"/>
        <w:left w:val="none" w:sz="0" w:space="0" w:color="auto"/>
        <w:bottom w:val="none" w:sz="0" w:space="0" w:color="auto"/>
        <w:right w:val="none" w:sz="0" w:space="0" w:color="auto"/>
      </w:divBdr>
    </w:div>
    <w:div w:id="495809294">
      <w:bodyDiv w:val="1"/>
      <w:marLeft w:val="0"/>
      <w:marRight w:val="0"/>
      <w:marTop w:val="0"/>
      <w:marBottom w:val="0"/>
      <w:divBdr>
        <w:top w:val="none" w:sz="0" w:space="0" w:color="auto"/>
        <w:left w:val="none" w:sz="0" w:space="0" w:color="auto"/>
        <w:bottom w:val="none" w:sz="0" w:space="0" w:color="auto"/>
        <w:right w:val="none" w:sz="0" w:space="0" w:color="auto"/>
      </w:divBdr>
    </w:div>
    <w:div w:id="533542386">
      <w:bodyDiv w:val="1"/>
      <w:marLeft w:val="0"/>
      <w:marRight w:val="0"/>
      <w:marTop w:val="0"/>
      <w:marBottom w:val="0"/>
      <w:divBdr>
        <w:top w:val="none" w:sz="0" w:space="0" w:color="auto"/>
        <w:left w:val="none" w:sz="0" w:space="0" w:color="auto"/>
        <w:bottom w:val="none" w:sz="0" w:space="0" w:color="auto"/>
        <w:right w:val="none" w:sz="0" w:space="0" w:color="auto"/>
      </w:divBdr>
    </w:div>
    <w:div w:id="542206033">
      <w:bodyDiv w:val="1"/>
      <w:marLeft w:val="0"/>
      <w:marRight w:val="0"/>
      <w:marTop w:val="0"/>
      <w:marBottom w:val="0"/>
      <w:divBdr>
        <w:top w:val="none" w:sz="0" w:space="0" w:color="auto"/>
        <w:left w:val="none" w:sz="0" w:space="0" w:color="auto"/>
        <w:bottom w:val="none" w:sz="0" w:space="0" w:color="auto"/>
        <w:right w:val="none" w:sz="0" w:space="0" w:color="auto"/>
      </w:divBdr>
    </w:div>
    <w:div w:id="544217877">
      <w:bodyDiv w:val="1"/>
      <w:marLeft w:val="0"/>
      <w:marRight w:val="0"/>
      <w:marTop w:val="0"/>
      <w:marBottom w:val="0"/>
      <w:divBdr>
        <w:top w:val="none" w:sz="0" w:space="0" w:color="auto"/>
        <w:left w:val="none" w:sz="0" w:space="0" w:color="auto"/>
        <w:bottom w:val="none" w:sz="0" w:space="0" w:color="auto"/>
        <w:right w:val="none" w:sz="0" w:space="0" w:color="auto"/>
      </w:divBdr>
    </w:div>
    <w:div w:id="612594036">
      <w:bodyDiv w:val="1"/>
      <w:marLeft w:val="0"/>
      <w:marRight w:val="0"/>
      <w:marTop w:val="0"/>
      <w:marBottom w:val="0"/>
      <w:divBdr>
        <w:top w:val="none" w:sz="0" w:space="0" w:color="auto"/>
        <w:left w:val="none" w:sz="0" w:space="0" w:color="auto"/>
        <w:bottom w:val="none" w:sz="0" w:space="0" w:color="auto"/>
        <w:right w:val="none" w:sz="0" w:space="0" w:color="auto"/>
      </w:divBdr>
    </w:div>
    <w:div w:id="628632504">
      <w:bodyDiv w:val="1"/>
      <w:marLeft w:val="0"/>
      <w:marRight w:val="0"/>
      <w:marTop w:val="0"/>
      <w:marBottom w:val="0"/>
      <w:divBdr>
        <w:top w:val="none" w:sz="0" w:space="0" w:color="auto"/>
        <w:left w:val="none" w:sz="0" w:space="0" w:color="auto"/>
        <w:bottom w:val="none" w:sz="0" w:space="0" w:color="auto"/>
        <w:right w:val="none" w:sz="0" w:space="0" w:color="auto"/>
      </w:divBdr>
    </w:div>
    <w:div w:id="650452730">
      <w:bodyDiv w:val="1"/>
      <w:marLeft w:val="0"/>
      <w:marRight w:val="0"/>
      <w:marTop w:val="0"/>
      <w:marBottom w:val="0"/>
      <w:divBdr>
        <w:top w:val="none" w:sz="0" w:space="0" w:color="auto"/>
        <w:left w:val="none" w:sz="0" w:space="0" w:color="auto"/>
        <w:bottom w:val="none" w:sz="0" w:space="0" w:color="auto"/>
        <w:right w:val="none" w:sz="0" w:space="0" w:color="auto"/>
      </w:divBdr>
    </w:div>
    <w:div w:id="867718349">
      <w:bodyDiv w:val="1"/>
      <w:marLeft w:val="0"/>
      <w:marRight w:val="0"/>
      <w:marTop w:val="0"/>
      <w:marBottom w:val="0"/>
      <w:divBdr>
        <w:top w:val="none" w:sz="0" w:space="0" w:color="auto"/>
        <w:left w:val="none" w:sz="0" w:space="0" w:color="auto"/>
        <w:bottom w:val="none" w:sz="0" w:space="0" w:color="auto"/>
        <w:right w:val="none" w:sz="0" w:space="0" w:color="auto"/>
      </w:divBdr>
    </w:div>
    <w:div w:id="869684694">
      <w:bodyDiv w:val="1"/>
      <w:marLeft w:val="0"/>
      <w:marRight w:val="0"/>
      <w:marTop w:val="0"/>
      <w:marBottom w:val="0"/>
      <w:divBdr>
        <w:top w:val="none" w:sz="0" w:space="0" w:color="auto"/>
        <w:left w:val="none" w:sz="0" w:space="0" w:color="auto"/>
        <w:bottom w:val="none" w:sz="0" w:space="0" w:color="auto"/>
        <w:right w:val="none" w:sz="0" w:space="0" w:color="auto"/>
      </w:divBdr>
    </w:div>
    <w:div w:id="965504370">
      <w:bodyDiv w:val="1"/>
      <w:marLeft w:val="0"/>
      <w:marRight w:val="0"/>
      <w:marTop w:val="0"/>
      <w:marBottom w:val="0"/>
      <w:divBdr>
        <w:top w:val="none" w:sz="0" w:space="0" w:color="auto"/>
        <w:left w:val="none" w:sz="0" w:space="0" w:color="auto"/>
        <w:bottom w:val="none" w:sz="0" w:space="0" w:color="auto"/>
        <w:right w:val="none" w:sz="0" w:space="0" w:color="auto"/>
      </w:divBdr>
    </w:div>
    <w:div w:id="1135610465">
      <w:bodyDiv w:val="1"/>
      <w:marLeft w:val="0"/>
      <w:marRight w:val="0"/>
      <w:marTop w:val="0"/>
      <w:marBottom w:val="0"/>
      <w:divBdr>
        <w:top w:val="none" w:sz="0" w:space="0" w:color="auto"/>
        <w:left w:val="none" w:sz="0" w:space="0" w:color="auto"/>
        <w:bottom w:val="none" w:sz="0" w:space="0" w:color="auto"/>
        <w:right w:val="none" w:sz="0" w:space="0" w:color="auto"/>
      </w:divBdr>
    </w:div>
    <w:div w:id="1330594984">
      <w:bodyDiv w:val="1"/>
      <w:marLeft w:val="0"/>
      <w:marRight w:val="0"/>
      <w:marTop w:val="0"/>
      <w:marBottom w:val="0"/>
      <w:divBdr>
        <w:top w:val="none" w:sz="0" w:space="0" w:color="auto"/>
        <w:left w:val="none" w:sz="0" w:space="0" w:color="auto"/>
        <w:bottom w:val="none" w:sz="0" w:space="0" w:color="auto"/>
        <w:right w:val="none" w:sz="0" w:space="0" w:color="auto"/>
      </w:divBdr>
    </w:div>
    <w:div w:id="1346902344">
      <w:bodyDiv w:val="1"/>
      <w:marLeft w:val="0"/>
      <w:marRight w:val="0"/>
      <w:marTop w:val="0"/>
      <w:marBottom w:val="0"/>
      <w:divBdr>
        <w:top w:val="none" w:sz="0" w:space="0" w:color="auto"/>
        <w:left w:val="none" w:sz="0" w:space="0" w:color="auto"/>
        <w:bottom w:val="none" w:sz="0" w:space="0" w:color="auto"/>
        <w:right w:val="none" w:sz="0" w:space="0" w:color="auto"/>
      </w:divBdr>
    </w:div>
    <w:div w:id="1435663939">
      <w:bodyDiv w:val="1"/>
      <w:marLeft w:val="0"/>
      <w:marRight w:val="0"/>
      <w:marTop w:val="0"/>
      <w:marBottom w:val="0"/>
      <w:divBdr>
        <w:top w:val="none" w:sz="0" w:space="0" w:color="auto"/>
        <w:left w:val="none" w:sz="0" w:space="0" w:color="auto"/>
        <w:bottom w:val="none" w:sz="0" w:space="0" w:color="auto"/>
        <w:right w:val="none" w:sz="0" w:space="0" w:color="auto"/>
      </w:divBdr>
    </w:div>
    <w:div w:id="1476676773">
      <w:bodyDiv w:val="1"/>
      <w:marLeft w:val="0"/>
      <w:marRight w:val="0"/>
      <w:marTop w:val="0"/>
      <w:marBottom w:val="0"/>
      <w:divBdr>
        <w:top w:val="none" w:sz="0" w:space="0" w:color="auto"/>
        <w:left w:val="none" w:sz="0" w:space="0" w:color="auto"/>
        <w:bottom w:val="none" w:sz="0" w:space="0" w:color="auto"/>
        <w:right w:val="none" w:sz="0" w:space="0" w:color="auto"/>
      </w:divBdr>
    </w:div>
    <w:div w:id="1666085413">
      <w:bodyDiv w:val="1"/>
      <w:marLeft w:val="0"/>
      <w:marRight w:val="0"/>
      <w:marTop w:val="0"/>
      <w:marBottom w:val="0"/>
      <w:divBdr>
        <w:top w:val="none" w:sz="0" w:space="0" w:color="auto"/>
        <w:left w:val="none" w:sz="0" w:space="0" w:color="auto"/>
        <w:bottom w:val="none" w:sz="0" w:space="0" w:color="auto"/>
        <w:right w:val="none" w:sz="0" w:space="0" w:color="auto"/>
      </w:divBdr>
    </w:div>
    <w:div w:id="1710714735">
      <w:bodyDiv w:val="1"/>
      <w:marLeft w:val="0"/>
      <w:marRight w:val="0"/>
      <w:marTop w:val="0"/>
      <w:marBottom w:val="0"/>
      <w:divBdr>
        <w:top w:val="none" w:sz="0" w:space="0" w:color="auto"/>
        <w:left w:val="none" w:sz="0" w:space="0" w:color="auto"/>
        <w:bottom w:val="none" w:sz="0" w:space="0" w:color="auto"/>
        <w:right w:val="none" w:sz="0" w:space="0" w:color="auto"/>
      </w:divBdr>
    </w:div>
    <w:div w:id="2030174817">
      <w:bodyDiv w:val="1"/>
      <w:marLeft w:val="0"/>
      <w:marRight w:val="0"/>
      <w:marTop w:val="0"/>
      <w:marBottom w:val="0"/>
      <w:divBdr>
        <w:top w:val="none" w:sz="0" w:space="0" w:color="auto"/>
        <w:left w:val="none" w:sz="0" w:space="0" w:color="auto"/>
        <w:bottom w:val="none" w:sz="0" w:space="0" w:color="auto"/>
        <w:right w:val="none" w:sz="0" w:space="0" w:color="auto"/>
      </w:divBdr>
      <w:divsChild>
        <w:div w:id="14627233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earchgate.net/scientific-contributions/Christopher-J-Daughney-12798356?_sg%5B0%5D=4-xcTJ-jtPlF6sA_1EH3vOME0KwHKBPStpx0aGzPtFMs7QAK3lUoAbQ-P50ETZXWyHv002s.eFaVtdhac6MGG55kfZKL41_bSPDiIRrJPUsx4GnXxnlV7_6EZ4dOpP2FKjWuWNUaWj3mz_wZkbtstJ1zVhzbMg&amp;_sg%5B1%5D=DLJy3qrxxHzQtv8j6jNHEAvGNjU9cTs6SFOjGxC11_rcPIBG2gtO3IvX-IsHRUcM2bXHQGo.m5NGA0mNNC62Zsw3p1AI96m_-ClaMji_0LUOqo0U7mOKQOdlIxQ2c2kf3AX3Our-mOsa2q7PK9DKmCPao_dBdA" TargetMode="External"/><Relationship Id="rId5" Type="http://schemas.openxmlformats.org/officeDocument/2006/relationships/hyperlink" Target="http://creativecommons.org/licenses/by/4.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2128</Words>
  <Characters>12050</Characters>
  <Application>Microsoft Office Word</Application>
  <DocSecurity>0</DocSecurity>
  <Lines>482</Lines>
  <Paragraphs>373</Paragraphs>
  <ScaleCrop>false</ScaleCrop>
  <HeadingPairs>
    <vt:vector size="2" baseType="variant">
      <vt:variant>
        <vt:lpstr>Title</vt:lpstr>
      </vt:variant>
      <vt:variant>
        <vt:i4>1</vt:i4>
      </vt:variant>
    </vt:vector>
  </HeadingPairs>
  <TitlesOfParts>
    <vt:vector size="1" baseType="lpstr">
      <vt:lpstr/>
    </vt:vector>
  </TitlesOfParts>
  <Company>GNS Science</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Moreau</dc:creator>
  <cp:keywords/>
  <dc:description/>
  <cp:lastModifiedBy>Magali Moreau</cp:lastModifiedBy>
  <cp:revision>6</cp:revision>
  <cp:lastPrinted>2025-11-19T22:57:00Z</cp:lastPrinted>
  <dcterms:created xsi:type="dcterms:W3CDTF">2026-05-13T19:24:00Z</dcterms:created>
  <dcterms:modified xsi:type="dcterms:W3CDTF">2026-05-14T05:08:00Z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2026-05-13T04:45:33Z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f8c50276-a201-408e-a8b4-aa496e2a26cf</vt:lpwstr>
  </property>
  <property fmtid="{D5CDD505-2E9C-101B-9397-08002B2CF9AE}" pid="7" name="MSIP_Label_defa4170-0d19-0005-0004-bc88714345d2_ActionId">
    <vt:lpwstr>f0321073-423f-4961-864d-518f0e16e66d</vt:lpwstr>
  </property>
  <property fmtid="{D5CDD505-2E9C-101B-9397-08002B2CF9AE}" pid="8" name="MSIP_Label_defa4170-0d19-0005-0004-bc88714345d2_ContentBits">
    <vt:lpwstr>0</vt:lpwstr>
  </property>
</Properties>
</file>